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24C8EF" w14:textId="776397FC" w:rsidR="001106CB" w:rsidRPr="00F31C32" w:rsidRDefault="001106CB" w:rsidP="001106CB">
      <w:pPr>
        <w:spacing w:after="0" w:line="240" w:lineRule="auto"/>
        <w:jc w:val="center"/>
        <w:rPr>
          <w:rFonts w:ascii="Aptos" w:hAnsi="Aptos"/>
          <w:b/>
          <w:bCs/>
        </w:rPr>
      </w:pPr>
      <w:r w:rsidRPr="00F31C32">
        <w:rPr>
          <w:rFonts w:ascii="Aptos" w:hAnsi="Aptos"/>
          <w:b/>
          <w:bCs/>
        </w:rPr>
        <w:t>ILERA European Conference</w:t>
      </w:r>
    </w:p>
    <w:p w14:paraId="4273D935" w14:textId="403CFD81" w:rsidR="00362491" w:rsidRPr="00F31C32" w:rsidRDefault="00362491" w:rsidP="001106CB">
      <w:pPr>
        <w:spacing w:after="0" w:line="240" w:lineRule="auto"/>
        <w:jc w:val="center"/>
        <w:rPr>
          <w:rFonts w:ascii="Aptos" w:hAnsi="Aptos"/>
          <w:b/>
          <w:bCs/>
        </w:rPr>
      </w:pPr>
      <w:r w:rsidRPr="00F31C32">
        <w:rPr>
          <w:rFonts w:ascii="Aptos" w:hAnsi="Aptos"/>
          <w:b/>
          <w:bCs/>
        </w:rPr>
        <w:t>10-12 September 2025</w:t>
      </w:r>
    </w:p>
    <w:p w14:paraId="22E30926" w14:textId="77777777" w:rsidR="001106CB" w:rsidRPr="00F31C32" w:rsidRDefault="001106CB" w:rsidP="001106CB">
      <w:pPr>
        <w:spacing w:after="0" w:line="240" w:lineRule="auto"/>
        <w:jc w:val="center"/>
        <w:rPr>
          <w:rFonts w:ascii="Aptos" w:hAnsi="Aptos"/>
          <w:b/>
          <w:bCs/>
        </w:rPr>
      </w:pPr>
    </w:p>
    <w:p w14:paraId="038AEB63" w14:textId="079311F6" w:rsidR="002E1058" w:rsidRPr="00F31C32" w:rsidRDefault="001106CB" w:rsidP="001106CB">
      <w:pPr>
        <w:spacing w:after="0" w:line="240" w:lineRule="auto"/>
        <w:jc w:val="center"/>
        <w:rPr>
          <w:rFonts w:ascii="Aptos" w:hAnsi="Aptos"/>
          <w:b/>
          <w:bCs/>
        </w:rPr>
      </w:pPr>
      <w:r w:rsidRPr="00F31C32">
        <w:rPr>
          <w:rFonts w:ascii="Aptos" w:hAnsi="Aptos"/>
          <w:b/>
          <w:bCs/>
        </w:rPr>
        <w:t>Special Session submission</w:t>
      </w:r>
    </w:p>
    <w:p w14:paraId="14E29F7D" w14:textId="77777777" w:rsidR="001106CB" w:rsidRPr="00F31C32" w:rsidRDefault="001106CB" w:rsidP="001106CB">
      <w:pPr>
        <w:spacing w:after="0" w:line="240" w:lineRule="auto"/>
        <w:jc w:val="both"/>
        <w:rPr>
          <w:rFonts w:ascii="Aptos" w:hAnsi="Aptos"/>
        </w:rPr>
      </w:pPr>
    </w:p>
    <w:p w14:paraId="13A4BE74" w14:textId="4489DEDE" w:rsidR="0001531D" w:rsidRPr="000515F9" w:rsidRDefault="00A9257A" w:rsidP="00220B13">
      <w:pPr>
        <w:spacing w:after="0" w:line="240" w:lineRule="auto"/>
        <w:ind w:left="2880" w:hanging="2880"/>
        <w:jc w:val="both"/>
        <w:rPr>
          <w:rFonts w:ascii="Aptos" w:hAnsi="Aptos"/>
        </w:rPr>
      </w:pPr>
      <w:r w:rsidRPr="000515F9">
        <w:rPr>
          <w:rFonts w:ascii="Aptos" w:hAnsi="Aptos"/>
          <w:b/>
          <w:bCs/>
        </w:rPr>
        <w:t>Title</w:t>
      </w:r>
      <w:r w:rsidR="00A90280" w:rsidRPr="000515F9">
        <w:rPr>
          <w:rFonts w:ascii="Aptos" w:hAnsi="Aptos"/>
          <w:b/>
          <w:bCs/>
        </w:rPr>
        <w:tab/>
      </w:r>
      <w:r w:rsidR="00A90280" w:rsidRPr="000515F9">
        <w:rPr>
          <w:rFonts w:ascii="Aptos" w:hAnsi="Aptos"/>
        </w:rPr>
        <w:t xml:space="preserve">Comparative Industrial Relations Research: Towards </w:t>
      </w:r>
      <w:r w:rsidR="00227111" w:rsidRPr="000515F9">
        <w:rPr>
          <w:rFonts w:ascii="Aptos" w:hAnsi="Aptos"/>
        </w:rPr>
        <w:t>Social Europe</w:t>
      </w:r>
      <w:r w:rsidR="00A90280" w:rsidRPr="000515F9">
        <w:rPr>
          <w:rFonts w:ascii="Aptos" w:hAnsi="Aptos"/>
        </w:rPr>
        <w:t>?</w:t>
      </w:r>
      <w:r w:rsidR="00134943" w:rsidRPr="000515F9">
        <w:rPr>
          <w:rFonts w:ascii="Aptos" w:hAnsi="Aptos"/>
        </w:rPr>
        <w:t xml:space="preserve"> An ETUI and </w:t>
      </w:r>
      <w:r w:rsidR="00134943" w:rsidRPr="000515F9">
        <w:rPr>
          <w:rFonts w:ascii="Aptos" w:hAnsi="Aptos"/>
          <w:i/>
          <w:iCs/>
        </w:rPr>
        <w:t>Transfer</w:t>
      </w:r>
      <w:r w:rsidR="00134943" w:rsidRPr="000515F9">
        <w:rPr>
          <w:rFonts w:ascii="Aptos" w:hAnsi="Aptos"/>
        </w:rPr>
        <w:t xml:space="preserve"> research round-up</w:t>
      </w:r>
    </w:p>
    <w:p w14:paraId="3EB7A111" w14:textId="77777777" w:rsidR="0001531D" w:rsidRPr="000515F9" w:rsidRDefault="0001531D" w:rsidP="001106CB">
      <w:pPr>
        <w:spacing w:after="0" w:line="240" w:lineRule="auto"/>
        <w:jc w:val="both"/>
        <w:rPr>
          <w:rFonts w:ascii="Aptos" w:hAnsi="Aptos"/>
        </w:rPr>
      </w:pPr>
    </w:p>
    <w:p w14:paraId="258F3C40" w14:textId="6C8B3DD9" w:rsidR="0001531D" w:rsidRPr="00F31C32" w:rsidRDefault="0001531D" w:rsidP="00C01559">
      <w:pPr>
        <w:spacing w:after="0" w:line="240" w:lineRule="auto"/>
        <w:ind w:left="2880" w:hanging="2880"/>
        <w:jc w:val="both"/>
        <w:rPr>
          <w:rFonts w:ascii="Aptos" w:hAnsi="Aptos"/>
        </w:rPr>
      </w:pPr>
      <w:r w:rsidRPr="00C01559">
        <w:rPr>
          <w:rFonts w:ascii="Aptos" w:hAnsi="Aptos"/>
          <w:b/>
          <w:bCs/>
        </w:rPr>
        <w:t>Name of organiser</w:t>
      </w:r>
      <w:r w:rsidRPr="00C01559">
        <w:rPr>
          <w:rFonts w:ascii="Aptos" w:hAnsi="Aptos"/>
        </w:rPr>
        <w:t xml:space="preserve"> </w:t>
      </w:r>
      <w:r w:rsidRPr="00C01559">
        <w:rPr>
          <w:rFonts w:ascii="Aptos" w:hAnsi="Aptos"/>
        </w:rPr>
        <w:tab/>
        <w:t>Jane Parker</w:t>
      </w:r>
      <w:r w:rsidR="00C01559">
        <w:rPr>
          <w:rFonts w:ascii="Aptos" w:hAnsi="Aptos"/>
        </w:rPr>
        <w:t>;</w:t>
      </w:r>
      <w:r w:rsidR="000515F9" w:rsidRPr="00C01559">
        <w:rPr>
          <w:rFonts w:ascii="Aptos" w:hAnsi="Aptos"/>
          <w:vertAlign w:val="superscript"/>
        </w:rPr>
        <w:t>1</w:t>
      </w:r>
      <w:r w:rsidR="000515F9" w:rsidRPr="00C01559">
        <w:rPr>
          <w:rFonts w:ascii="Aptos" w:hAnsi="Aptos"/>
        </w:rPr>
        <w:t xml:space="preserve"> </w:t>
      </w:r>
      <w:r w:rsidR="00005506" w:rsidRPr="00C01559">
        <w:rPr>
          <w:rFonts w:ascii="Aptos" w:hAnsi="Aptos"/>
        </w:rPr>
        <w:t>Kalina Arabadjieva;</w:t>
      </w:r>
      <w:r w:rsidR="00C01559" w:rsidRPr="00C01559">
        <w:rPr>
          <w:rFonts w:ascii="Aptos" w:hAnsi="Aptos"/>
          <w:vertAlign w:val="superscript"/>
        </w:rPr>
        <w:t>2</w:t>
      </w:r>
      <w:r w:rsidR="00005506" w:rsidRPr="00C01559">
        <w:rPr>
          <w:rFonts w:ascii="Aptos" w:hAnsi="Aptos"/>
        </w:rPr>
        <w:t xml:space="preserve"> </w:t>
      </w:r>
      <w:r w:rsidR="00C01559" w:rsidRPr="00005506">
        <w:rPr>
          <w:rFonts w:ascii="Aptos" w:hAnsi="Aptos"/>
        </w:rPr>
        <w:t>Béla Galgóczi</w:t>
      </w:r>
      <w:r w:rsidR="00005506" w:rsidRPr="00C01559">
        <w:rPr>
          <w:rFonts w:ascii="Aptos" w:hAnsi="Aptos"/>
        </w:rPr>
        <w:t>;</w:t>
      </w:r>
      <w:r w:rsidR="00C01559" w:rsidRPr="00C01559">
        <w:rPr>
          <w:rFonts w:ascii="Aptos" w:hAnsi="Aptos"/>
          <w:vertAlign w:val="superscript"/>
        </w:rPr>
        <w:t>2</w:t>
      </w:r>
      <w:r w:rsidR="00005506" w:rsidRPr="00C01559">
        <w:rPr>
          <w:rFonts w:ascii="Aptos" w:hAnsi="Aptos"/>
        </w:rPr>
        <w:t xml:space="preserve"> </w:t>
      </w:r>
      <w:r w:rsidR="00C01559" w:rsidRPr="00C01559">
        <w:rPr>
          <w:rFonts w:ascii="Aptos" w:hAnsi="Aptos"/>
        </w:rPr>
        <w:t>Agni</w:t>
      </w:r>
      <w:r w:rsidR="00800F35">
        <w:rPr>
          <w:rFonts w:ascii="Aptos" w:hAnsi="Aptos"/>
        </w:rPr>
        <w:t>e</w:t>
      </w:r>
      <w:r w:rsidR="00C01559" w:rsidRPr="00C01559">
        <w:rPr>
          <w:rFonts w:ascii="Aptos" w:hAnsi="Aptos"/>
        </w:rPr>
        <w:t>s</w:t>
      </w:r>
      <w:r w:rsidR="00C01559">
        <w:rPr>
          <w:rFonts w:ascii="Aptos" w:hAnsi="Aptos"/>
        </w:rPr>
        <w:t>zka Piasna;</w:t>
      </w:r>
      <w:r w:rsidR="00C01559" w:rsidRPr="00C01559">
        <w:rPr>
          <w:rFonts w:ascii="Aptos" w:hAnsi="Aptos"/>
          <w:vertAlign w:val="superscript"/>
        </w:rPr>
        <w:t>2</w:t>
      </w:r>
      <w:r w:rsidR="00C01559">
        <w:rPr>
          <w:rFonts w:ascii="Aptos" w:hAnsi="Aptos"/>
        </w:rPr>
        <w:t xml:space="preserve"> </w:t>
      </w:r>
      <w:r w:rsidR="000B1BF8" w:rsidRPr="002559CF">
        <w:rPr>
          <w:rFonts w:ascii="Aptos" w:hAnsi="Aptos"/>
        </w:rPr>
        <w:t>Wouter Zwysen</w:t>
      </w:r>
      <w:r w:rsidR="00F31C32" w:rsidRPr="002559CF">
        <w:rPr>
          <w:rFonts w:ascii="Aptos" w:hAnsi="Aptos"/>
        </w:rPr>
        <w:t>;</w:t>
      </w:r>
      <w:r w:rsidR="000B1BF8" w:rsidRPr="000B1BF8">
        <w:rPr>
          <w:rFonts w:ascii="Aptos" w:hAnsi="Aptos"/>
          <w:vertAlign w:val="superscript"/>
        </w:rPr>
        <w:t>2</w:t>
      </w:r>
      <w:r w:rsidR="00F31C32">
        <w:rPr>
          <w:rFonts w:ascii="Aptos" w:hAnsi="Aptos"/>
          <w:vertAlign w:val="superscript"/>
        </w:rPr>
        <w:t xml:space="preserve"> </w:t>
      </w:r>
      <w:r w:rsidR="00F31C32">
        <w:rPr>
          <w:rFonts w:ascii="Aptos" w:hAnsi="Aptos"/>
        </w:rPr>
        <w:t>and Bart Vanhercke</w:t>
      </w:r>
      <w:r w:rsidR="00F31C32" w:rsidRPr="00F31C32">
        <w:rPr>
          <w:rFonts w:ascii="Aptos" w:hAnsi="Aptos"/>
          <w:vertAlign w:val="superscript"/>
        </w:rPr>
        <w:t>2</w:t>
      </w:r>
    </w:p>
    <w:p w14:paraId="5EB671A1" w14:textId="77777777" w:rsidR="00A90280" w:rsidRPr="00C01559" w:rsidRDefault="00A90280" w:rsidP="001106CB">
      <w:pPr>
        <w:spacing w:after="0" w:line="240" w:lineRule="auto"/>
        <w:jc w:val="both"/>
        <w:rPr>
          <w:rFonts w:ascii="Aptos" w:hAnsi="Aptos"/>
        </w:rPr>
      </w:pPr>
    </w:p>
    <w:p w14:paraId="076387A8" w14:textId="4C3E4727" w:rsidR="0001531D" w:rsidRPr="000515F9" w:rsidRDefault="0001531D" w:rsidP="001106CB">
      <w:pPr>
        <w:spacing w:after="0" w:line="240" w:lineRule="auto"/>
        <w:jc w:val="both"/>
        <w:rPr>
          <w:rFonts w:ascii="Aptos" w:hAnsi="Aptos"/>
        </w:rPr>
      </w:pPr>
      <w:r w:rsidRPr="000515F9">
        <w:rPr>
          <w:rFonts w:ascii="Aptos" w:hAnsi="Aptos"/>
          <w:b/>
          <w:bCs/>
        </w:rPr>
        <w:t>Affiliation</w:t>
      </w:r>
      <w:r w:rsidR="00A90280" w:rsidRPr="000515F9">
        <w:rPr>
          <w:rFonts w:ascii="Aptos" w:hAnsi="Aptos"/>
          <w:b/>
          <w:bCs/>
        </w:rPr>
        <w:t>s</w:t>
      </w:r>
      <w:r w:rsidRPr="000515F9">
        <w:rPr>
          <w:rFonts w:ascii="Aptos" w:hAnsi="Aptos"/>
          <w:b/>
          <w:bCs/>
        </w:rPr>
        <w:tab/>
      </w:r>
      <w:r w:rsidRPr="000515F9">
        <w:rPr>
          <w:rFonts w:ascii="Aptos" w:hAnsi="Aptos"/>
        </w:rPr>
        <w:tab/>
      </w:r>
      <w:r w:rsidR="00220B13">
        <w:rPr>
          <w:rFonts w:ascii="Aptos" w:hAnsi="Aptos"/>
        </w:rPr>
        <w:tab/>
      </w:r>
      <w:r w:rsidR="000515F9" w:rsidRPr="000515F9">
        <w:rPr>
          <w:rFonts w:ascii="Aptos" w:hAnsi="Aptos"/>
          <w:vertAlign w:val="superscript"/>
        </w:rPr>
        <w:t>1</w:t>
      </w:r>
      <w:r w:rsidR="000515F9">
        <w:rPr>
          <w:rFonts w:ascii="Aptos" w:hAnsi="Aptos"/>
        </w:rPr>
        <w:t xml:space="preserve"> </w:t>
      </w:r>
      <w:r w:rsidRPr="000515F9">
        <w:rPr>
          <w:rFonts w:ascii="Aptos" w:hAnsi="Aptos"/>
        </w:rPr>
        <w:t>ETUI</w:t>
      </w:r>
      <w:r w:rsidR="00A90280" w:rsidRPr="000515F9">
        <w:rPr>
          <w:rFonts w:ascii="Aptos" w:hAnsi="Aptos"/>
        </w:rPr>
        <w:t>, Belgium and Massey University, New Zealand</w:t>
      </w:r>
      <w:r w:rsidR="00C01559">
        <w:rPr>
          <w:rFonts w:ascii="Aptos" w:hAnsi="Aptos"/>
        </w:rPr>
        <w:t xml:space="preserve">; </w:t>
      </w:r>
      <w:r w:rsidR="00C01559" w:rsidRPr="00C01559">
        <w:rPr>
          <w:rFonts w:ascii="Aptos" w:hAnsi="Aptos"/>
          <w:vertAlign w:val="superscript"/>
        </w:rPr>
        <w:t>2</w:t>
      </w:r>
      <w:r w:rsidR="00C01559">
        <w:rPr>
          <w:rFonts w:ascii="Aptos" w:hAnsi="Aptos"/>
        </w:rPr>
        <w:t xml:space="preserve"> </w:t>
      </w:r>
      <w:proofErr w:type="gramStart"/>
      <w:r w:rsidR="00C01559">
        <w:rPr>
          <w:rFonts w:ascii="Aptos" w:hAnsi="Aptos"/>
        </w:rPr>
        <w:t>ETUI</w:t>
      </w:r>
      <w:proofErr w:type="gramEnd"/>
    </w:p>
    <w:p w14:paraId="611685D1" w14:textId="77777777" w:rsidR="0001531D" w:rsidRPr="000515F9" w:rsidRDefault="0001531D" w:rsidP="001106CB">
      <w:pPr>
        <w:spacing w:after="0" w:line="240" w:lineRule="auto"/>
        <w:jc w:val="both"/>
        <w:rPr>
          <w:rFonts w:ascii="Aptos" w:hAnsi="Aptos"/>
        </w:rPr>
      </w:pPr>
    </w:p>
    <w:p w14:paraId="0D03119C" w14:textId="0BC8B7FC" w:rsidR="00A90280" w:rsidRPr="000515F9" w:rsidRDefault="00E5689A" w:rsidP="001106CB">
      <w:pPr>
        <w:spacing w:after="0" w:line="240" w:lineRule="auto"/>
        <w:jc w:val="both"/>
        <w:rPr>
          <w:rFonts w:ascii="Aptos" w:hAnsi="Aptos"/>
        </w:rPr>
      </w:pPr>
      <w:r w:rsidRPr="000515F9">
        <w:rPr>
          <w:rFonts w:ascii="Aptos" w:hAnsi="Aptos"/>
          <w:b/>
          <w:bCs/>
        </w:rPr>
        <w:t>Five key words</w:t>
      </w:r>
      <w:r w:rsidRPr="000515F9">
        <w:rPr>
          <w:rFonts w:ascii="Aptos" w:hAnsi="Aptos"/>
          <w:b/>
          <w:bCs/>
        </w:rPr>
        <w:tab/>
      </w:r>
      <w:r w:rsidR="00220B13">
        <w:rPr>
          <w:rFonts w:ascii="Aptos" w:hAnsi="Aptos"/>
          <w:b/>
          <w:bCs/>
        </w:rPr>
        <w:tab/>
      </w:r>
      <w:r w:rsidRPr="000515F9">
        <w:rPr>
          <w:rFonts w:ascii="Aptos" w:hAnsi="Aptos"/>
        </w:rPr>
        <w:t>industrial relations, comparative, social Europe, research</w:t>
      </w:r>
      <w:r w:rsidR="00101D54" w:rsidRPr="000515F9">
        <w:rPr>
          <w:rFonts w:ascii="Aptos" w:hAnsi="Aptos"/>
        </w:rPr>
        <w:t>, ETUI</w:t>
      </w:r>
    </w:p>
    <w:p w14:paraId="03810A68" w14:textId="77777777" w:rsidR="00E5689A" w:rsidRPr="000515F9" w:rsidRDefault="00E5689A" w:rsidP="001106CB">
      <w:pPr>
        <w:spacing w:after="0" w:line="240" w:lineRule="auto"/>
        <w:jc w:val="both"/>
        <w:rPr>
          <w:rFonts w:ascii="Aptos" w:hAnsi="Aptos"/>
        </w:rPr>
      </w:pPr>
    </w:p>
    <w:p w14:paraId="2DF0CC51" w14:textId="330DB72F" w:rsidR="00E5689A" w:rsidRPr="000515F9" w:rsidRDefault="00E5689A" w:rsidP="00220B13">
      <w:pPr>
        <w:spacing w:after="0" w:line="240" w:lineRule="auto"/>
        <w:ind w:left="2880" w:hanging="2880"/>
        <w:jc w:val="both"/>
        <w:rPr>
          <w:rFonts w:ascii="Aptos" w:hAnsi="Aptos"/>
        </w:rPr>
      </w:pPr>
      <w:r w:rsidRPr="000515F9">
        <w:rPr>
          <w:rFonts w:ascii="Aptos" w:hAnsi="Aptos"/>
          <w:b/>
          <w:bCs/>
        </w:rPr>
        <w:t>Summary</w:t>
      </w:r>
      <w:r w:rsidRPr="000515F9">
        <w:rPr>
          <w:rFonts w:ascii="Aptos" w:hAnsi="Aptos"/>
          <w:b/>
          <w:bCs/>
        </w:rPr>
        <w:tab/>
      </w:r>
      <w:r w:rsidR="00592A5F" w:rsidRPr="000515F9">
        <w:rPr>
          <w:rFonts w:ascii="Aptos" w:hAnsi="Aptos"/>
        </w:rPr>
        <w:t>T</w:t>
      </w:r>
      <w:r w:rsidR="00375B79" w:rsidRPr="000515F9">
        <w:rPr>
          <w:rFonts w:ascii="Aptos" w:hAnsi="Aptos"/>
        </w:rPr>
        <w:t xml:space="preserve">he European Union (EU) </w:t>
      </w:r>
      <w:r w:rsidR="00592A5F" w:rsidRPr="000515F9">
        <w:rPr>
          <w:rFonts w:ascii="Aptos" w:hAnsi="Aptos"/>
        </w:rPr>
        <w:t xml:space="preserve">continues to </w:t>
      </w:r>
      <w:r w:rsidR="00375B79" w:rsidRPr="000515F9">
        <w:rPr>
          <w:rFonts w:ascii="Aptos" w:hAnsi="Aptos"/>
        </w:rPr>
        <w:t>face critical challenges affect</w:t>
      </w:r>
      <w:r w:rsidR="00592A5F" w:rsidRPr="000515F9">
        <w:rPr>
          <w:rFonts w:ascii="Aptos" w:hAnsi="Aptos"/>
        </w:rPr>
        <w:t>ing</w:t>
      </w:r>
      <w:r w:rsidR="00375B79" w:rsidRPr="000515F9">
        <w:rPr>
          <w:rFonts w:ascii="Aptos" w:hAnsi="Aptos"/>
        </w:rPr>
        <w:t xml:space="preserve"> </w:t>
      </w:r>
      <w:r w:rsidR="00592A5F" w:rsidRPr="000515F9">
        <w:rPr>
          <w:rFonts w:ascii="Aptos" w:hAnsi="Aptos"/>
        </w:rPr>
        <w:t>the</w:t>
      </w:r>
      <w:r w:rsidR="003B5C7F" w:rsidRPr="000515F9">
        <w:rPr>
          <w:rFonts w:ascii="Aptos" w:hAnsi="Aptos"/>
        </w:rPr>
        <w:t xml:space="preserve"> economy, welfare systems, jobs and workplaces, and social life. The </w:t>
      </w:r>
      <w:r w:rsidRPr="000515F9">
        <w:rPr>
          <w:rFonts w:ascii="Aptos" w:hAnsi="Aptos"/>
        </w:rPr>
        <w:t xml:space="preserve">European Commission </w:t>
      </w:r>
      <w:r w:rsidR="00D656DA" w:rsidRPr="000515F9">
        <w:rPr>
          <w:rFonts w:ascii="Aptos" w:hAnsi="Aptos"/>
        </w:rPr>
        <w:t>(EC) (2024) asserts that ‘(a) strong Social Europe is the foundation of prosperity</w:t>
      </w:r>
      <w:r w:rsidR="00A55554" w:rsidRPr="000515F9">
        <w:rPr>
          <w:rFonts w:ascii="Aptos" w:hAnsi="Aptos"/>
        </w:rPr>
        <w:t xml:space="preserve"> and well-being, and a competitive and fair economy</w:t>
      </w:r>
      <w:r w:rsidR="00375B79" w:rsidRPr="000515F9">
        <w:rPr>
          <w:rFonts w:ascii="Aptos" w:hAnsi="Aptos"/>
        </w:rPr>
        <w:t xml:space="preserve">’ and that </w:t>
      </w:r>
      <w:r w:rsidR="00A55554" w:rsidRPr="000515F9">
        <w:rPr>
          <w:rFonts w:ascii="Aptos" w:hAnsi="Aptos"/>
        </w:rPr>
        <w:t>‘(s)</w:t>
      </w:r>
      <w:r w:rsidRPr="00E5689A">
        <w:rPr>
          <w:rFonts w:ascii="Aptos" w:hAnsi="Aptos"/>
        </w:rPr>
        <w:t>killed workers, capable of leveraging innovation and adapting to the clean and digital transitions, are key to this.</w:t>
      </w:r>
      <w:r w:rsidR="00A55554" w:rsidRPr="000515F9">
        <w:rPr>
          <w:rFonts w:ascii="Aptos" w:hAnsi="Aptos"/>
        </w:rPr>
        <w:t>’</w:t>
      </w:r>
      <w:r w:rsidR="00C55E87" w:rsidRPr="000515F9">
        <w:rPr>
          <w:rFonts w:ascii="Aptos" w:hAnsi="Aptos"/>
        </w:rPr>
        <w:t xml:space="preserve"> </w:t>
      </w:r>
      <w:r w:rsidR="00BE7245" w:rsidRPr="000515F9">
        <w:rPr>
          <w:rFonts w:ascii="Aptos" w:hAnsi="Aptos"/>
        </w:rPr>
        <w:t xml:space="preserve">But, in the context of current </w:t>
      </w:r>
      <w:r w:rsidR="002A21AB" w:rsidRPr="000515F9">
        <w:rPr>
          <w:rFonts w:ascii="Aptos" w:hAnsi="Aptos"/>
        </w:rPr>
        <w:t>EU industrial policy and the recent Draghi (2024) report</w:t>
      </w:r>
      <w:r w:rsidR="00BE7245" w:rsidRPr="000515F9">
        <w:rPr>
          <w:rFonts w:ascii="Aptos" w:hAnsi="Aptos"/>
        </w:rPr>
        <w:t xml:space="preserve">, </w:t>
      </w:r>
      <w:r w:rsidR="00C55E87" w:rsidRPr="000515F9">
        <w:rPr>
          <w:rFonts w:ascii="Aptos" w:hAnsi="Aptos"/>
        </w:rPr>
        <w:t>what does a ‘strong Social Europe’</w:t>
      </w:r>
      <w:r w:rsidR="00F36A00" w:rsidRPr="000515F9">
        <w:rPr>
          <w:rFonts w:ascii="Aptos" w:hAnsi="Aptos"/>
        </w:rPr>
        <w:t xml:space="preserve"> </w:t>
      </w:r>
      <w:r w:rsidR="00592A5F" w:rsidRPr="000515F9">
        <w:rPr>
          <w:rFonts w:ascii="Aptos" w:hAnsi="Aptos"/>
        </w:rPr>
        <w:t xml:space="preserve">mean and </w:t>
      </w:r>
      <w:r w:rsidR="00A34BF6">
        <w:rPr>
          <w:rFonts w:ascii="Aptos" w:hAnsi="Aptos"/>
        </w:rPr>
        <w:t>what is its relationship to existing and potential</w:t>
      </w:r>
      <w:r w:rsidR="00592A5F" w:rsidRPr="000515F9">
        <w:rPr>
          <w:rFonts w:ascii="Aptos" w:hAnsi="Aptos"/>
        </w:rPr>
        <w:t xml:space="preserve"> </w:t>
      </w:r>
      <w:r w:rsidR="00C55E87" w:rsidRPr="000515F9">
        <w:rPr>
          <w:rFonts w:ascii="Aptos" w:hAnsi="Aptos"/>
        </w:rPr>
        <w:t xml:space="preserve">industrial relations </w:t>
      </w:r>
      <w:r w:rsidR="00592A5F" w:rsidRPr="000515F9">
        <w:rPr>
          <w:rFonts w:ascii="Aptos" w:hAnsi="Aptos"/>
        </w:rPr>
        <w:t>systems, institutions and actors</w:t>
      </w:r>
      <w:r w:rsidR="00C55E87" w:rsidRPr="000515F9">
        <w:rPr>
          <w:rFonts w:ascii="Aptos" w:hAnsi="Aptos"/>
        </w:rPr>
        <w:t xml:space="preserve">? </w:t>
      </w:r>
    </w:p>
    <w:p w14:paraId="41FC0C17" w14:textId="77777777" w:rsidR="00592A5F" w:rsidRPr="000515F9" w:rsidRDefault="00592A5F" w:rsidP="00A55554">
      <w:pPr>
        <w:spacing w:after="0" w:line="240" w:lineRule="auto"/>
        <w:ind w:left="2160" w:hanging="2160"/>
        <w:jc w:val="both"/>
        <w:rPr>
          <w:rFonts w:ascii="Aptos" w:hAnsi="Aptos"/>
        </w:rPr>
      </w:pPr>
    </w:p>
    <w:p w14:paraId="1731B2DD" w14:textId="38EE5A8A" w:rsidR="00DB13CD" w:rsidRPr="000515F9" w:rsidRDefault="00592A5F" w:rsidP="00220B13">
      <w:pPr>
        <w:spacing w:after="0" w:line="240" w:lineRule="auto"/>
        <w:ind w:left="2880"/>
        <w:jc w:val="both"/>
        <w:rPr>
          <w:rFonts w:ascii="Aptos" w:hAnsi="Aptos"/>
        </w:rPr>
      </w:pPr>
      <w:r w:rsidRPr="000515F9">
        <w:rPr>
          <w:rFonts w:ascii="Aptos" w:hAnsi="Aptos"/>
        </w:rPr>
        <w:t xml:space="preserve">In this Special Session, we would </w:t>
      </w:r>
      <w:r w:rsidR="003C7969" w:rsidRPr="000515F9">
        <w:rPr>
          <w:rFonts w:ascii="Aptos" w:hAnsi="Aptos"/>
        </w:rPr>
        <w:t>adopt</w:t>
      </w:r>
      <w:r w:rsidR="0082358C" w:rsidRPr="000515F9">
        <w:rPr>
          <w:rFonts w:ascii="Aptos" w:hAnsi="Aptos"/>
        </w:rPr>
        <w:t xml:space="preserve"> a panel discussion involving short </w:t>
      </w:r>
      <w:r w:rsidR="00392799" w:rsidRPr="000515F9">
        <w:rPr>
          <w:rFonts w:ascii="Aptos" w:hAnsi="Aptos"/>
        </w:rPr>
        <w:t xml:space="preserve">panellist </w:t>
      </w:r>
      <w:r w:rsidR="0082358C" w:rsidRPr="000515F9">
        <w:rPr>
          <w:rFonts w:ascii="Aptos" w:hAnsi="Aptos"/>
        </w:rPr>
        <w:t>presentations</w:t>
      </w:r>
      <w:r w:rsidR="000107B2">
        <w:rPr>
          <w:rFonts w:ascii="Aptos" w:hAnsi="Aptos"/>
        </w:rPr>
        <w:t xml:space="preserve"> (5-6 minutes each)</w:t>
      </w:r>
      <w:r w:rsidR="0082358C" w:rsidRPr="000515F9">
        <w:rPr>
          <w:rFonts w:ascii="Aptos" w:hAnsi="Aptos"/>
        </w:rPr>
        <w:t xml:space="preserve"> </w:t>
      </w:r>
      <w:r w:rsidR="00A34BF6">
        <w:rPr>
          <w:rFonts w:ascii="Aptos" w:hAnsi="Aptos"/>
        </w:rPr>
        <w:t xml:space="preserve">by ETUI researchers </w:t>
      </w:r>
      <w:r w:rsidR="00392799" w:rsidRPr="000515F9">
        <w:rPr>
          <w:rFonts w:ascii="Aptos" w:hAnsi="Aptos"/>
        </w:rPr>
        <w:t>on</w:t>
      </w:r>
      <w:r w:rsidR="0082358C" w:rsidRPr="000515F9">
        <w:rPr>
          <w:rFonts w:ascii="Aptos" w:hAnsi="Aptos"/>
        </w:rPr>
        <w:t xml:space="preserve"> </w:t>
      </w:r>
      <w:r w:rsidR="00040081" w:rsidRPr="000515F9">
        <w:rPr>
          <w:rFonts w:ascii="Aptos" w:hAnsi="Aptos"/>
        </w:rPr>
        <w:t xml:space="preserve">key industrial relations </w:t>
      </w:r>
      <w:r w:rsidR="00DB13CD" w:rsidRPr="000515F9">
        <w:rPr>
          <w:rFonts w:ascii="Aptos" w:hAnsi="Aptos"/>
        </w:rPr>
        <w:t>features within and across</w:t>
      </w:r>
      <w:r w:rsidR="00040081" w:rsidRPr="000515F9">
        <w:rPr>
          <w:rFonts w:ascii="Aptos" w:hAnsi="Aptos"/>
        </w:rPr>
        <w:t xml:space="preserve"> the EU Member States </w:t>
      </w:r>
      <w:r w:rsidR="00A34BF6">
        <w:rPr>
          <w:rFonts w:ascii="Aptos" w:hAnsi="Aptos"/>
        </w:rPr>
        <w:t>as they</w:t>
      </w:r>
      <w:r w:rsidR="00040081" w:rsidRPr="000515F9">
        <w:rPr>
          <w:rFonts w:ascii="Aptos" w:hAnsi="Aptos"/>
        </w:rPr>
        <w:t xml:space="preserve"> relat</w:t>
      </w:r>
      <w:r w:rsidR="00A34BF6">
        <w:rPr>
          <w:rFonts w:ascii="Aptos" w:hAnsi="Aptos"/>
        </w:rPr>
        <w:t>e</w:t>
      </w:r>
      <w:r w:rsidR="00040081" w:rsidRPr="000515F9">
        <w:rPr>
          <w:rFonts w:ascii="Aptos" w:hAnsi="Aptos"/>
        </w:rPr>
        <w:t xml:space="preserve"> to progress on Social Europe</w:t>
      </w:r>
      <w:r w:rsidR="00DB13CD" w:rsidRPr="000515F9">
        <w:rPr>
          <w:rFonts w:ascii="Aptos" w:hAnsi="Aptos"/>
        </w:rPr>
        <w:t>, including:</w:t>
      </w:r>
    </w:p>
    <w:p w14:paraId="7FA212B6" w14:textId="77777777" w:rsidR="00DB13CD" w:rsidRPr="000515F9" w:rsidRDefault="00DB13CD" w:rsidP="00A55554">
      <w:pPr>
        <w:spacing w:after="0" w:line="240" w:lineRule="auto"/>
        <w:ind w:left="2160" w:hanging="2160"/>
        <w:jc w:val="both"/>
        <w:rPr>
          <w:rFonts w:ascii="Aptos" w:hAnsi="Aptos"/>
        </w:rPr>
      </w:pPr>
    </w:p>
    <w:p w14:paraId="069DDFDD" w14:textId="5E1D510C" w:rsidR="004F5E4A" w:rsidRDefault="006C2351" w:rsidP="004F5E4A">
      <w:pPr>
        <w:pStyle w:val="ListParagraph"/>
        <w:numPr>
          <w:ilvl w:val="0"/>
          <w:numId w:val="9"/>
        </w:numPr>
        <w:spacing w:after="0" w:line="240" w:lineRule="auto"/>
        <w:jc w:val="both"/>
        <w:rPr>
          <w:rFonts w:ascii="Aptos" w:eastAsia="Calibri" w:hAnsi="Aptos" w:cs="Calibri"/>
          <w:color w:val="000000"/>
          <w:szCs w:val="24"/>
        </w:rPr>
      </w:pPr>
      <w:r>
        <w:rPr>
          <w:rFonts w:ascii="Aptos" w:eastAsia="Calibri" w:hAnsi="Aptos" w:cs="Calibri"/>
          <w:szCs w:val="24"/>
        </w:rPr>
        <w:t>c</w:t>
      </w:r>
      <w:r w:rsidR="004F5E4A" w:rsidRPr="009F53DC">
        <w:rPr>
          <w:rFonts w:ascii="Aptos" w:eastAsia="Calibri" w:hAnsi="Aptos" w:cs="Calibri"/>
          <w:szCs w:val="24"/>
        </w:rPr>
        <w:t>hallenges of broad transformations in contemporary economic and employment systems for workers</w:t>
      </w:r>
      <w:r w:rsidR="00C05DCD">
        <w:rPr>
          <w:rFonts w:ascii="Aptos" w:eastAsia="Calibri" w:hAnsi="Aptos" w:cs="Calibri"/>
          <w:szCs w:val="24"/>
        </w:rPr>
        <w:t>, w</w:t>
      </w:r>
      <w:r w:rsidR="004F5E4A" w:rsidRPr="009F53DC">
        <w:rPr>
          <w:rFonts w:ascii="Aptos" w:eastAsia="Calibri" w:hAnsi="Aptos" w:cs="Calibri"/>
          <w:szCs w:val="24"/>
        </w:rPr>
        <w:t>orkplaces and society – key findings from</w:t>
      </w:r>
      <w:r w:rsidR="00F11097">
        <w:rPr>
          <w:rFonts w:ascii="Aptos" w:eastAsia="Calibri" w:hAnsi="Aptos" w:cs="Calibri"/>
          <w:szCs w:val="24"/>
        </w:rPr>
        <w:t xml:space="preserve"> </w:t>
      </w:r>
      <w:proofErr w:type="spellStart"/>
      <w:r w:rsidR="00F11097">
        <w:rPr>
          <w:rFonts w:ascii="Aptos" w:eastAsia="Calibri" w:hAnsi="Aptos" w:cs="Calibri"/>
          <w:szCs w:val="24"/>
        </w:rPr>
        <w:t>Piasna</w:t>
      </w:r>
      <w:proofErr w:type="spellEnd"/>
      <w:r w:rsidR="00F11097">
        <w:rPr>
          <w:rFonts w:ascii="Aptos" w:eastAsia="Calibri" w:hAnsi="Aptos" w:cs="Calibri"/>
          <w:szCs w:val="24"/>
        </w:rPr>
        <w:t xml:space="preserve">, A., Theodoropoulou, S. and </w:t>
      </w:r>
      <w:proofErr w:type="spellStart"/>
      <w:r w:rsidR="00F11097">
        <w:rPr>
          <w:rFonts w:ascii="Aptos" w:eastAsia="Calibri" w:hAnsi="Aptos" w:cs="Calibri"/>
          <w:szCs w:val="24"/>
        </w:rPr>
        <w:t>Vanhercke</w:t>
      </w:r>
      <w:proofErr w:type="spellEnd"/>
      <w:r w:rsidR="00F11097">
        <w:rPr>
          <w:rFonts w:ascii="Aptos" w:eastAsia="Calibri" w:hAnsi="Aptos" w:cs="Calibri"/>
          <w:szCs w:val="24"/>
        </w:rPr>
        <w:t>, B. (eds)</w:t>
      </w:r>
      <w:r w:rsidR="004F5E4A" w:rsidRPr="009F53DC">
        <w:rPr>
          <w:rFonts w:ascii="Aptos" w:eastAsia="Calibri" w:hAnsi="Aptos" w:cs="Calibri"/>
          <w:szCs w:val="24"/>
        </w:rPr>
        <w:t xml:space="preserve"> </w:t>
      </w:r>
      <w:r w:rsidR="004F5E4A" w:rsidRPr="009F53DC">
        <w:rPr>
          <w:rFonts w:ascii="Aptos" w:eastAsia="Calibri" w:hAnsi="Aptos" w:cs="Calibri"/>
          <w:i/>
          <w:iCs/>
          <w:szCs w:val="24"/>
        </w:rPr>
        <w:t>Benchmarking Working Europe 2025</w:t>
      </w:r>
      <w:r w:rsidR="00F11097">
        <w:rPr>
          <w:rFonts w:ascii="Aptos" w:eastAsia="Calibri" w:hAnsi="Aptos" w:cs="Calibri"/>
          <w:szCs w:val="24"/>
        </w:rPr>
        <w:t xml:space="preserve">, ETUI and ETUC </w:t>
      </w:r>
      <w:r w:rsidR="004F5E4A">
        <w:rPr>
          <w:rFonts w:ascii="Aptos" w:eastAsia="Calibri" w:hAnsi="Aptos" w:cs="Calibri"/>
          <w:color w:val="000000"/>
          <w:szCs w:val="24"/>
        </w:rPr>
        <w:t>(</w:t>
      </w:r>
      <w:r w:rsidR="004F5E4A" w:rsidRPr="00C01559">
        <w:rPr>
          <w:rFonts w:ascii="Aptos" w:eastAsia="Calibri" w:hAnsi="Aptos" w:cs="Calibri"/>
          <w:b/>
          <w:bCs/>
          <w:color w:val="000000"/>
          <w:szCs w:val="24"/>
        </w:rPr>
        <w:t>Agni</w:t>
      </w:r>
      <w:r w:rsidR="00800F35">
        <w:rPr>
          <w:rFonts w:ascii="Aptos" w:eastAsia="Calibri" w:hAnsi="Aptos" w:cs="Calibri"/>
          <w:b/>
          <w:bCs/>
          <w:color w:val="000000"/>
          <w:szCs w:val="24"/>
        </w:rPr>
        <w:t>e</w:t>
      </w:r>
      <w:r w:rsidR="004F5E4A" w:rsidRPr="00C01559">
        <w:rPr>
          <w:rFonts w:ascii="Aptos" w:eastAsia="Calibri" w:hAnsi="Aptos" w:cs="Calibri"/>
          <w:b/>
          <w:bCs/>
          <w:color w:val="000000"/>
          <w:szCs w:val="24"/>
        </w:rPr>
        <w:t xml:space="preserve">szka </w:t>
      </w:r>
      <w:proofErr w:type="spellStart"/>
      <w:r w:rsidR="004F5E4A" w:rsidRPr="00C01559">
        <w:rPr>
          <w:rFonts w:ascii="Aptos" w:eastAsia="Calibri" w:hAnsi="Aptos" w:cs="Calibri"/>
          <w:b/>
          <w:bCs/>
          <w:color w:val="000000"/>
          <w:szCs w:val="24"/>
        </w:rPr>
        <w:t>Piasna</w:t>
      </w:r>
      <w:proofErr w:type="spellEnd"/>
      <w:r w:rsidR="004F5E4A">
        <w:rPr>
          <w:rFonts w:ascii="Aptos" w:eastAsia="Calibri" w:hAnsi="Aptos" w:cs="Calibri"/>
          <w:b/>
          <w:bCs/>
          <w:color w:val="000000"/>
          <w:szCs w:val="24"/>
        </w:rPr>
        <w:t xml:space="preserve"> </w:t>
      </w:r>
      <w:r w:rsidR="004F5E4A" w:rsidRPr="0025021E">
        <w:rPr>
          <w:rFonts w:ascii="Aptos" w:eastAsia="Calibri" w:hAnsi="Aptos" w:cs="Calibri"/>
          <w:b/>
          <w:bCs/>
          <w:szCs w:val="24"/>
        </w:rPr>
        <w:t xml:space="preserve">and Bart </w:t>
      </w:r>
      <w:proofErr w:type="spellStart"/>
      <w:r w:rsidR="004F5E4A" w:rsidRPr="0025021E">
        <w:rPr>
          <w:rFonts w:ascii="Aptos" w:eastAsia="Calibri" w:hAnsi="Aptos" w:cs="Calibri"/>
          <w:b/>
          <w:bCs/>
          <w:szCs w:val="24"/>
        </w:rPr>
        <w:t>Vanher</w:t>
      </w:r>
      <w:r w:rsidR="00B310D8">
        <w:rPr>
          <w:rFonts w:ascii="Aptos" w:eastAsia="Calibri" w:hAnsi="Aptos" w:cs="Calibri"/>
          <w:b/>
          <w:bCs/>
          <w:szCs w:val="24"/>
        </w:rPr>
        <w:t>c</w:t>
      </w:r>
      <w:r w:rsidR="004F5E4A" w:rsidRPr="0025021E">
        <w:rPr>
          <w:rFonts w:ascii="Aptos" w:eastAsia="Calibri" w:hAnsi="Aptos" w:cs="Calibri"/>
          <w:b/>
          <w:bCs/>
          <w:szCs w:val="24"/>
        </w:rPr>
        <w:t>ke</w:t>
      </w:r>
      <w:proofErr w:type="spellEnd"/>
      <w:proofErr w:type="gramStart"/>
      <w:r w:rsidR="0025021E" w:rsidRPr="0025021E">
        <w:rPr>
          <w:rFonts w:ascii="Aptos" w:eastAsia="Calibri" w:hAnsi="Aptos" w:cs="Calibri"/>
          <w:szCs w:val="24"/>
        </w:rPr>
        <w:t>)</w:t>
      </w:r>
      <w:r w:rsidR="004F5E4A">
        <w:rPr>
          <w:rFonts w:ascii="Aptos" w:eastAsia="Calibri" w:hAnsi="Aptos" w:cs="Calibri"/>
          <w:color w:val="000000"/>
          <w:szCs w:val="24"/>
        </w:rPr>
        <w:t>;</w:t>
      </w:r>
      <w:proofErr w:type="gramEnd"/>
    </w:p>
    <w:p w14:paraId="1D7BAE76" w14:textId="77777777" w:rsidR="00C91123" w:rsidRPr="005A4D24" w:rsidRDefault="00C91123" w:rsidP="00C91123">
      <w:pPr>
        <w:pStyle w:val="ListParagraph"/>
        <w:numPr>
          <w:ilvl w:val="0"/>
          <w:numId w:val="9"/>
        </w:numPr>
        <w:spacing w:after="0" w:line="240" w:lineRule="auto"/>
        <w:jc w:val="both"/>
        <w:rPr>
          <w:rFonts w:ascii="Aptos" w:eastAsia="Calibri" w:hAnsi="Aptos" w:cs="Calibri"/>
          <w:color w:val="000000"/>
          <w:szCs w:val="24"/>
        </w:rPr>
      </w:pPr>
      <w:r w:rsidRPr="005A4D24">
        <w:rPr>
          <w:rFonts w:ascii="Aptos" w:eastAsia="Times New Roman" w:hAnsi="Aptos" w:cs="Times New Roman"/>
          <w:kern w:val="0"/>
          <w:szCs w:val="24"/>
          <w:lang w:eastAsia="en-GB"/>
          <w14:ligatures w14:val="none"/>
        </w:rPr>
        <w:t>EU green industrial policy: what role for labour law? (</w:t>
      </w:r>
      <w:r w:rsidRPr="005A4D24">
        <w:rPr>
          <w:rFonts w:ascii="Aptos" w:eastAsia="Times New Roman" w:hAnsi="Aptos" w:cs="Times New Roman"/>
          <w:b/>
          <w:bCs/>
          <w:kern w:val="0"/>
          <w:szCs w:val="24"/>
          <w:lang w:eastAsia="en-GB"/>
          <w14:ligatures w14:val="none"/>
        </w:rPr>
        <w:t xml:space="preserve">Kalina </w:t>
      </w:r>
      <w:proofErr w:type="spellStart"/>
      <w:r w:rsidRPr="005A4D24">
        <w:rPr>
          <w:rFonts w:ascii="Aptos" w:eastAsia="Times New Roman" w:hAnsi="Aptos" w:cs="Times New Roman"/>
          <w:b/>
          <w:bCs/>
          <w:kern w:val="0"/>
          <w:szCs w:val="24"/>
          <w:lang w:eastAsia="en-GB"/>
          <w14:ligatures w14:val="none"/>
        </w:rPr>
        <w:t>Arabadjieva</w:t>
      </w:r>
      <w:proofErr w:type="spellEnd"/>
      <w:proofErr w:type="gramStart"/>
      <w:r w:rsidRPr="005A4D24">
        <w:rPr>
          <w:rFonts w:ascii="Aptos" w:eastAsia="Times New Roman" w:hAnsi="Aptos" w:cs="Times New Roman"/>
          <w:kern w:val="0"/>
          <w:szCs w:val="24"/>
          <w:lang w:eastAsia="en-GB"/>
          <w14:ligatures w14:val="none"/>
        </w:rPr>
        <w:t>)</w:t>
      </w:r>
      <w:r w:rsidRPr="005A4D24">
        <w:rPr>
          <w:rFonts w:ascii="Aptos" w:eastAsia="Calibri" w:hAnsi="Aptos" w:cs="Calibri"/>
          <w:color w:val="000000"/>
          <w:szCs w:val="24"/>
        </w:rPr>
        <w:t>;</w:t>
      </w:r>
      <w:proofErr w:type="gramEnd"/>
      <w:r w:rsidRPr="005A4D24">
        <w:rPr>
          <w:rFonts w:ascii="Aptos" w:eastAsia="Calibri" w:hAnsi="Aptos" w:cs="Calibri"/>
          <w:color w:val="000000"/>
          <w:szCs w:val="24"/>
        </w:rPr>
        <w:t xml:space="preserve"> </w:t>
      </w:r>
    </w:p>
    <w:p w14:paraId="63CF0377" w14:textId="43A463B2" w:rsidR="00F47201" w:rsidRPr="000107B2" w:rsidRDefault="000107B2" w:rsidP="00694FF2">
      <w:pPr>
        <w:pStyle w:val="ListParagraph"/>
        <w:numPr>
          <w:ilvl w:val="0"/>
          <w:numId w:val="9"/>
        </w:numPr>
        <w:spacing w:after="0" w:line="240" w:lineRule="auto"/>
        <w:jc w:val="both"/>
        <w:rPr>
          <w:rFonts w:ascii="Aptos" w:hAnsi="Aptos"/>
        </w:rPr>
      </w:pPr>
      <w:r w:rsidRPr="000107B2">
        <w:rPr>
          <w:rFonts w:ascii="Aptos" w:eastAsia="Times New Roman" w:hAnsi="Aptos" w:cs="Times New Roman"/>
          <w:szCs w:val="24"/>
        </w:rPr>
        <w:t xml:space="preserve">ETUC’s assessment of recent EU industrial policy and </w:t>
      </w:r>
      <w:r w:rsidR="006C2351" w:rsidRPr="000107B2">
        <w:rPr>
          <w:rFonts w:ascii="Aptos" w:hAnsi="Aptos"/>
        </w:rPr>
        <w:t xml:space="preserve">union sectoral responses to EU </w:t>
      </w:r>
      <w:r w:rsidR="00F47201" w:rsidRPr="000107B2">
        <w:rPr>
          <w:rFonts w:ascii="Aptos" w:hAnsi="Aptos"/>
        </w:rPr>
        <w:t xml:space="preserve">industrial policy </w:t>
      </w:r>
      <w:r w:rsidR="006C2351" w:rsidRPr="000107B2">
        <w:rPr>
          <w:rFonts w:ascii="Aptos" w:hAnsi="Aptos"/>
        </w:rPr>
        <w:t>and implications for worker participation and representation</w:t>
      </w:r>
      <w:r w:rsidR="005A4D24" w:rsidRPr="000107B2">
        <w:rPr>
          <w:rFonts w:ascii="Aptos" w:hAnsi="Aptos"/>
        </w:rPr>
        <w:t xml:space="preserve"> (</w:t>
      </w:r>
      <w:r w:rsidR="005A4D24" w:rsidRPr="000107B2">
        <w:rPr>
          <w:rFonts w:ascii="Aptos" w:hAnsi="Aptos"/>
          <w:b/>
          <w:bCs/>
        </w:rPr>
        <w:t>Jane Parker</w:t>
      </w:r>
      <w:proofErr w:type="gramStart"/>
      <w:r w:rsidR="005A4D24" w:rsidRPr="000107B2">
        <w:rPr>
          <w:rFonts w:ascii="Aptos" w:hAnsi="Aptos"/>
        </w:rPr>
        <w:t>)</w:t>
      </w:r>
      <w:r w:rsidR="00F47201" w:rsidRPr="000107B2">
        <w:rPr>
          <w:rFonts w:ascii="Aptos" w:hAnsi="Aptos"/>
        </w:rPr>
        <w:t>;</w:t>
      </w:r>
      <w:proofErr w:type="gramEnd"/>
      <w:r w:rsidR="00F361F6" w:rsidRPr="000107B2">
        <w:rPr>
          <w:rFonts w:ascii="Aptos" w:hAnsi="Aptos"/>
        </w:rPr>
        <w:t xml:space="preserve"> </w:t>
      </w:r>
    </w:p>
    <w:p w14:paraId="156EA4D6" w14:textId="51E1A0C0" w:rsidR="00C01559" w:rsidRDefault="00014B3B" w:rsidP="00E00957">
      <w:pPr>
        <w:pStyle w:val="ListParagraph"/>
        <w:numPr>
          <w:ilvl w:val="0"/>
          <w:numId w:val="9"/>
        </w:numPr>
        <w:spacing w:after="0" w:line="240" w:lineRule="auto"/>
        <w:jc w:val="both"/>
        <w:rPr>
          <w:rFonts w:ascii="Aptos" w:eastAsia="Calibri" w:hAnsi="Aptos" w:cs="Calibri"/>
          <w:color w:val="000000"/>
          <w:szCs w:val="24"/>
        </w:rPr>
      </w:pPr>
      <w:r w:rsidRPr="00C01559">
        <w:rPr>
          <w:rFonts w:ascii="Aptos" w:eastAsia="Calibri" w:hAnsi="Aptos" w:cs="Calibri"/>
          <w:color w:val="000000"/>
          <w:szCs w:val="24"/>
        </w:rPr>
        <w:t>new mechanisms in Europe (e.g. Industrial Alliances</w:t>
      </w:r>
      <w:r w:rsidR="00DA17BE" w:rsidRPr="00C01559">
        <w:rPr>
          <w:rFonts w:ascii="Aptos" w:eastAsia="Calibri" w:hAnsi="Aptos" w:cs="Calibri"/>
          <w:color w:val="000000"/>
          <w:szCs w:val="24"/>
        </w:rPr>
        <w:t>,</w:t>
      </w:r>
      <w:r w:rsidRPr="00C01559">
        <w:rPr>
          <w:rFonts w:ascii="Aptos" w:eastAsia="Calibri" w:hAnsi="Aptos" w:cs="Calibri"/>
          <w:color w:val="000000"/>
          <w:szCs w:val="24"/>
        </w:rPr>
        <w:t xml:space="preserve"> an Industrial Forum</w:t>
      </w:r>
      <w:r w:rsidR="00DA17BE" w:rsidRPr="00C01559">
        <w:rPr>
          <w:rFonts w:ascii="Aptos" w:eastAsia="Calibri" w:hAnsi="Aptos" w:cs="Calibri"/>
          <w:color w:val="000000"/>
          <w:szCs w:val="24"/>
        </w:rPr>
        <w:t xml:space="preserve">, the European Trade Union Confederation’s (ETUC) </w:t>
      </w:r>
      <w:r w:rsidR="000F08A0" w:rsidRPr="00C01559">
        <w:rPr>
          <w:rFonts w:ascii="Aptos" w:eastAsia="Calibri" w:hAnsi="Aptos" w:cs="Calibri"/>
          <w:color w:val="000000"/>
          <w:szCs w:val="24"/>
        </w:rPr>
        <w:t xml:space="preserve">(2024) </w:t>
      </w:r>
      <w:r w:rsidR="00DA17BE" w:rsidRPr="00C01559">
        <w:rPr>
          <w:rFonts w:ascii="Aptos" w:eastAsia="Calibri" w:hAnsi="Aptos" w:cs="Calibri"/>
          <w:color w:val="000000"/>
          <w:szCs w:val="24"/>
        </w:rPr>
        <w:t>Trade Union Renewal Centre</w:t>
      </w:r>
      <w:r w:rsidRPr="00C01559">
        <w:rPr>
          <w:rFonts w:ascii="Aptos" w:eastAsia="Calibri" w:hAnsi="Aptos" w:cs="Calibri"/>
          <w:color w:val="000000"/>
          <w:szCs w:val="24"/>
        </w:rPr>
        <w:t>)</w:t>
      </w:r>
      <w:r w:rsidR="0056643F" w:rsidRPr="00C01559">
        <w:rPr>
          <w:rFonts w:ascii="Aptos" w:eastAsia="Calibri" w:hAnsi="Aptos" w:cs="Calibri"/>
          <w:color w:val="000000"/>
          <w:szCs w:val="24"/>
        </w:rPr>
        <w:t xml:space="preserve"> in relation to Social Europe</w:t>
      </w:r>
      <w:r w:rsidR="005A4D24" w:rsidRPr="00C01559">
        <w:rPr>
          <w:rFonts w:ascii="Aptos" w:eastAsia="Calibri" w:hAnsi="Aptos" w:cs="Calibri"/>
          <w:color w:val="000000"/>
          <w:szCs w:val="24"/>
        </w:rPr>
        <w:t xml:space="preserve"> </w:t>
      </w:r>
      <w:r w:rsidR="005A4D24" w:rsidRPr="0025021E">
        <w:rPr>
          <w:rFonts w:ascii="Aptos" w:eastAsia="Calibri" w:hAnsi="Aptos" w:cs="Calibri"/>
          <w:szCs w:val="24"/>
        </w:rPr>
        <w:t>(</w:t>
      </w:r>
      <w:proofErr w:type="spellStart"/>
      <w:r w:rsidR="0025021E" w:rsidRPr="0025021E">
        <w:rPr>
          <w:rFonts w:ascii="Aptos" w:eastAsia="Calibri" w:hAnsi="Aptos" w:cs="Calibri"/>
          <w:b/>
          <w:bCs/>
          <w:szCs w:val="24"/>
        </w:rPr>
        <w:t>tbd</w:t>
      </w:r>
      <w:proofErr w:type="spellEnd"/>
      <w:proofErr w:type="gramStart"/>
      <w:r w:rsidR="005A4D24" w:rsidRPr="0025021E">
        <w:rPr>
          <w:rFonts w:ascii="Aptos" w:eastAsia="Calibri" w:hAnsi="Aptos" w:cs="Calibri"/>
          <w:szCs w:val="24"/>
        </w:rPr>
        <w:t>)</w:t>
      </w:r>
      <w:r w:rsidR="0056643F" w:rsidRPr="00C01559">
        <w:rPr>
          <w:rFonts w:ascii="Aptos" w:eastAsia="Calibri" w:hAnsi="Aptos" w:cs="Calibri"/>
          <w:color w:val="000000"/>
          <w:szCs w:val="24"/>
        </w:rPr>
        <w:t>;</w:t>
      </w:r>
      <w:proofErr w:type="gramEnd"/>
      <w:r w:rsidR="0056643F" w:rsidRPr="00C01559">
        <w:rPr>
          <w:rFonts w:ascii="Aptos" w:eastAsia="Calibri" w:hAnsi="Aptos" w:cs="Calibri"/>
          <w:color w:val="000000"/>
          <w:szCs w:val="24"/>
        </w:rPr>
        <w:t xml:space="preserve"> </w:t>
      </w:r>
    </w:p>
    <w:p w14:paraId="4F36216C" w14:textId="654DD82C" w:rsidR="003C7969" w:rsidRPr="00584E1B" w:rsidRDefault="004F5E4A" w:rsidP="00E00957">
      <w:pPr>
        <w:pStyle w:val="ListParagraph"/>
        <w:numPr>
          <w:ilvl w:val="0"/>
          <w:numId w:val="9"/>
        </w:numPr>
        <w:spacing w:after="0" w:line="240" w:lineRule="auto"/>
        <w:jc w:val="both"/>
        <w:rPr>
          <w:rFonts w:ascii="Aptos" w:eastAsia="Calibri" w:hAnsi="Aptos" w:cs="Calibri"/>
          <w:color w:val="000000"/>
          <w:szCs w:val="24"/>
        </w:rPr>
      </w:pPr>
      <w:r>
        <w:rPr>
          <w:rFonts w:ascii="Aptos" w:eastAsia="Calibri" w:hAnsi="Aptos" w:cs="Calibri"/>
          <w:color w:val="000000"/>
          <w:szCs w:val="24"/>
        </w:rPr>
        <w:t>m</w:t>
      </w:r>
      <w:r w:rsidR="00676D43" w:rsidRPr="00C01559">
        <w:rPr>
          <w:rFonts w:ascii="Aptos" w:eastAsia="Calibri" w:hAnsi="Aptos" w:cs="Calibri"/>
          <w:color w:val="000000"/>
          <w:szCs w:val="24"/>
        </w:rPr>
        <w:t xml:space="preserve">anaging the green </w:t>
      </w:r>
      <w:r w:rsidR="00676D43" w:rsidRPr="00584E1B">
        <w:rPr>
          <w:rFonts w:ascii="Aptos" w:eastAsia="Calibri" w:hAnsi="Aptos" w:cs="Calibri"/>
          <w:color w:val="000000"/>
          <w:szCs w:val="24"/>
        </w:rPr>
        <w:t>transition: What tools exist in the ‘industrial relations’ repertoire (</w:t>
      </w:r>
      <w:r w:rsidR="00676D43" w:rsidRPr="00584E1B">
        <w:rPr>
          <w:rFonts w:ascii="Aptos" w:eastAsia="Calibri" w:hAnsi="Aptos" w:cs="Calibri"/>
          <w:b/>
          <w:bCs/>
          <w:color w:val="000000"/>
          <w:szCs w:val="24"/>
        </w:rPr>
        <w:t>Bela Galg</w:t>
      </w:r>
      <w:r w:rsidR="00C91123" w:rsidRPr="00584E1B">
        <w:rPr>
          <w:rFonts w:ascii="Aptos" w:eastAsia="Calibri" w:hAnsi="Aptos" w:cs="Calibri"/>
          <w:b/>
          <w:bCs/>
          <w:color w:val="000000"/>
          <w:szCs w:val="24"/>
        </w:rPr>
        <w:t>ó</w:t>
      </w:r>
      <w:r w:rsidR="00676D43" w:rsidRPr="00584E1B">
        <w:rPr>
          <w:rFonts w:ascii="Aptos" w:eastAsia="Calibri" w:hAnsi="Aptos" w:cs="Calibri"/>
          <w:b/>
          <w:bCs/>
          <w:color w:val="000000"/>
          <w:szCs w:val="24"/>
        </w:rPr>
        <w:t>c</w:t>
      </w:r>
      <w:r w:rsidR="00C91123" w:rsidRPr="00584E1B">
        <w:rPr>
          <w:rFonts w:ascii="Aptos" w:eastAsia="Calibri" w:hAnsi="Aptos" w:cs="Calibri"/>
          <w:b/>
          <w:bCs/>
          <w:color w:val="000000"/>
          <w:szCs w:val="24"/>
        </w:rPr>
        <w:t>z</w:t>
      </w:r>
      <w:r w:rsidR="00676D43" w:rsidRPr="00584E1B">
        <w:rPr>
          <w:rFonts w:ascii="Aptos" w:eastAsia="Calibri" w:hAnsi="Aptos" w:cs="Calibri"/>
          <w:b/>
          <w:bCs/>
          <w:color w:val="000000"/>
          <w:szCs w:val="24"/>
        </w:rPr>
        <w:t>i</w:t>
      </w:r>
      <w:proofErr w:type="gramStart"/>
      <w:r w:rsidR="00676D43" w:rsidRPr="00584E1B">
        <w:rPr>
          <w:rFonts w:ascii="Aptos" w:eastAsia="Calibri" w:hAnsi="Aptos" w:cs="Calibri"/>
          <w:color w:val="000000"/>
          <w:szCs w:val="24"/>
        </w:rPr>
        <w:t>)</w:t>
      </w:r>
      <w:r w:rsidR="00C01559" w:rsidRPr="00584E1B">
        <w:rPr>
          <w:rFonts w:ascii="Aptos" w:eastAsia="Calibri" w:hAnsi="Aptos" w:cs="Calibri"/>
          <w:color w:val="000000"/>
          <w:szCs w:val="24"/>
        </w:rPr>
        <w:t>;</w:t>
      </w:r>
      <w:proofErr w:type="gramEnd"/>
      <w:r w:rsidR="00C01559" w:rsidRPr="00584E1B">
        <w:rPr>
          <w:rFonts w:ascii="Aptos" w:eastAsia="Calibri" w:hAnsi="Aptos" w:cs="Calibri"/>
          <w:color w:val="000000"/>
          <w:szCs w:val="24"/>
        </w:rPr>
        <w:t xml:space="preserve"> </w:t>
      </w:r>
    </w:p>
    <w:p w14:paraId="2F50172E" w14:textId="2F6502B2" w:rsidR="002E5E46" w:rsidRPr="005E5B3D" w:rsidRDefault="00C05DCD" w:rsidP="00006AC4">
      <w:pPr>
        <w:pStyle w:val="ListParagraph"/>
        <w:numPr>
          <w:ilvl w:val="0"/>
          <w:numId w:val="9"/>
        </w:numPr>
        <w:spacing w:after="0" w:line="240" w:lineRule="auto"/>
        <w:jc w:val="both"/>
        <w:textAlignment w:val="baseline"/>
        <w:rPr>
          <w:rFonts w:ascii="Aptos" w:eastAsia="Calibri" w:hAnsi="Aptos" w:cs="Calibri"/>
          <w:color w:val="000000"/>
          <w:szCs w:val="24"/>
        </w:rPr>
      </w:pPr>
      <w:r w:rsidRPr="005E5B3D">
        <w:rPr>
          <w:rFonts w:ascii="Aptos" w:eastAsia="Times New Roman" w:hAnsi="Aptos" w:cs="Times New Roman"/>
          <w:color w:val="000000"/>
          <w:kern w:val="0"/>
          <w:szCs w:val="24"/>
          <w:lang w:eastAsia="en-GB"/>
          <w14:ligatures w14:val="none"/>
        </w:rPr>
        <w:t xml:space="preserve">worker’s bargaining power </w:t>
      </w:r>
      <w:proofErr w:type="gramStart"/>
      <w:r w:rsidRPr="005E5B3D">
        <w:rPr>
          <w:rFonts w:ascii="Aptos" w:eastAsia="Times New Roman" w:hAnsi="Aptos" w:cs="Times New Roman"/>
          <w:color w:val="000000"/>
          <w:kern w:val="0"/>
          <w:szCs w:val="24"/>
          <w:lang w:eastAsia="en-GB"/>
          <w14:ligatures w14:val="none"/>
        </w:rPr>
        <w:t>in light of</w:t>
      </w:r>
      <w:proofErr w:type="gramEnd"/>
      <w:r w:rsidRPr="005E5B3D">
        <w:rPr>
          <w:rFonts w:ascii="Aptos" w:eastAsia="Times New Roman" w:hAnsi="Aptos" w:cs="Times New Roman"/>
          <w:color w:val="000000"/>
          <w:kern w:val="0"/>
          <w:szCs w:val="24"/>
          <w:lang w:eastAsia="en-GB"/>
          <w14:ligatures w14:val="none"/>
        </w:rPr>
        <w:t xml:space="preserve"> economic transformations and institutional change</w:t>
      </w:r>
      <w:r w:rsidR="005E5B3D" w:rsidRPr="005E5B3D">
        <w:rPr>
          <w:rFonts w:ascii="Aptos" w:eastAsia="Times New Roman" w:hAnsi="Aptos" w:cs="Times New Roman"/>
          <w:color w:val="000000"/>
          <w:kern w:val="0"/>
          <w:szCs w:val="24"/>
          <w:lang w:eastAsia="en-GB"/>
          <w14:ligatures w14:val="none"/>
        </w:rPr>
        <w:t xml:space="preserve"> – trend </w:t>
      </w:r>
      <w:r w:rsidRPr="005E5B3D">
        <w:rPr>
          <w:rFonts w:ascii="Aptos" w:eastAsia="Times New Roman" w:hAnsi="Aptos" w:cs="Times New Roman"/>
          <w:color w:val="000000"/>
          <w:kern w:val="0"/>
          <w:szCs w:val="24"/>
          <w:lang w:eastAsia="en-GB"/>
          <w14:ligatures w14:val="none"/>
        </w:rPr>
        <w:t>analys</w:t>
      </w:r>
      <w:r w:rsidR="005E5B3D" w:rsidRPr="005E5B3D">
        <w:rPr>
          <w:rFonts w:ascii="Aptos" w:eastAsia="Times New Roman" w:hAnsi="Aptos" w:cs="Times New Roman"/>
          <w:color w:val="000000"/>
          <w:kern w:val="0"/>
          <w:szCs w:val="24"/>
          <w:lang w:eastAsia="en-GB"/>
          <w14:ligatures w14:val="none"/>
        </w:rPr>
        <w:t>i</w:t>
      </w:r>
      <w:r w:rsidRPr="005E5B3D">
        <w:rPr>
          <w:rFonts w:ascii="Aptos" w:eastAsia="Times New Roman" w:hAnsi="Aptos" w:cs="Times New Roman"/>
          <w:color w:val="000000"/>
          <w:kern w:val="0"/>
          <w:szCs w:val="24"/>
          <w:lang w:eastAsia="en-GB"/>
          <w14:ligatures w14:val="none"/>
        </w:rPr>
        <w:t xml:space="preserve">s </w:t>
      </w:r>
      <w:r w:rsidR="005E5B3D" w:rsidRPr="005E5B3D">
        <w:rPr>
          <w:rFonts w:ascii="Aptos" w:eastAsia="Times New Roman" w:hAnsi="Aptos" w:cs="Times New Roman"/>
          <w:color w:val="000000"/>
          <w:kern w:val="0"/>
          <w:szCs w:val="24"/>
          <w:lang w:eastAsia="en-GB"/>
          <w14:ligatures w14:val="none"/>
        </w:rPr>
        <w:t>of</w:t>
      </w:r>
      <w:r w:rsidRPr="005E5B3D">
        <w:rPr>
          <w:rFonts w:ascii="Aptos" w:eastAsia="Times New Roman" w:hAnsi="Aptos" w:cs="Times New Roman"/>
          <w:color w:val="000000"/>
          <w:kern w:val="0"/>
          <w:szCs w:val="24"/>
          <w:lang w:eastAsia="en-GB"/>
          <w14:ligatures w14:val="none"/>
        </w:rPr>
        <w:t xml:space="preserve"> </w:t>
      </w:r>
      <w:r w:rsidRPr="005E5B3D">
        <w:rPr>
          <w:rFonts w:ascii="Aptos" w:eastAsia="Times New Roman" w:hAnsi="Aptos" w:cs="Times New Roman"/>
          <w:color w:val="000000"/>
          <w:kern w:val="0"/>
          <w:szCs w:val="24"/>
          <w:lang w:eastAsia="en-GB"/>
          <w14:ligatures w14:val="none"/>
        </w:rPr>
        <w:lastRenderedPageBreak/>
        <w:t>labour market and wage inequalities from a perspective of workers’ bargaining position, with a focus on how economic trends – globalisation, digitalisation, but also growing labour market concentration and monopsony</w:t>
      </w:r>
      <w:r w:rsidR="005E5B3D" w:rsidRPr="005E5B3D">
        <w:rPr>
          <w:rFonts w:ascii="Aptos" w:eastAsia="Times New Roman" w:hAnsi="Aptos" w:cs="Times New Roman"/>
          <w:color w:val="000000"/>
          <w:kern w:val="0"/>
          <w:szCs w:val="24"/>
          <w:lang w:eastAsia="en-GB"/>
          <w14:ligatures w14:val="none"/>
        </w:rPr>
        <w:t xml:space="preserve"> -</w:t>
      </w:r>
      <w:r w:rsidRPr="005E5B3D">
        <w:rPr>
          <w:rFonts w:ascii="Aptos" w:eastAsia="Times New Roman" w:hAnsi="Aptos" w:cs="Times New Roman"/>
          <w:color w:val="000000"/>
          <w:kern w:val="0"/>
          <w:szCs w:val="24"/>
          <w:lang w:eastAsia="en-GB"/>
          <w14:ligatures w14:val="none"/>
        </w:rPr>
        <w:t xml:space="preserve"> widen differences between workers and lead to greater inequality. On the other hand, stronger collective representation on the one hand and growing labour shortages on the other can and do offer some rebalance</w:t>
      </w:r>
      <w:r w:rsidR="005E5B3D" w:rsidRPr="005E5B3D">
        <w:rPr>
          <w:rFonts w:ascii="Aptos" w:eastAsia="Times New Roman" w:hAnsi="Aptos" w:cs="Times New Roman"/>
          <w:color w:val="000000"/>
          <w:kern w:val="0"/>
          <w:szCs w:val="24"/>
          <w:lang w:eastAsia="en-GB"/>
          <w14:ligatures w14:val="none"/>
        </w:rPr>
        <w:t xml:space="preserve"> </w:t>
      </w:r>
      <w:r w:rsidR="00584E1B" w:rsidRPr="005E5B3D">
        <w:rPr>
          <w:rFonts w:ascii="Aptos" w:eastAsia="Times New Roman" w:hAnsi="Aptos" w:cs="Times New Roman"/>
          <w:kern w:val="0"/>
          <w:szCs w:val="24"/>
          <w:lang w:eastAsia="en-GB"/>
          <w14:ligatures w14:val="none"/>
        </w:rPr>
        <w:t>(</w:t>
      </w:r>
      <w:r w:rsidR="00584E1B" w:rsidRPr="005E5B3D">
        <w:rPr>
          <w:rFonts w:ascii="Aptos" w:eastAsia="Times New Roman" w:hAnsi="Aptos" w:cs="Times New Roman"/>
          <w:b/>
          <w:bCs/>
          <w:kern w:val="0"/>
          <w:szCs w:val="24"/>
          <w:lang w:eastAsia="en-GB"/>
          <w14:ligatures w14:val="none"/>
        </w:rPr>
        <w:t xml:space="preserve">Wouter </w:t>
      </w:r>
      <w:proofErr w:type="spellStart"/>
      <w:r w:rsidR="00584E1B" w:rsidRPr="005E5B3D">
        <w:rPr>
          <w:rFonts w:ascii="Aptos" w:eastAsia="Times New Roman" w:hAnsi="Aptos" w:cs="Times New Roman"/>
          <w:b/>
          <w:bCs/>
          <w:kern w:val="0"/>
          <w:szCs w:val="24"/>
          <w:lang w:eastAsia="en-GB"/>
          <w14:ligatures w14:val="none"/>
        </w:rPr>
        <w:t>Zwysen</w:t>
      </w:r>
      <w:proofErr w:type="spellEnd"/>
      <w:r w:rsidR="00584E1B" w:rsidRPr="005E5B3D">
        <w:rPr>
          <w:rFonts w:ascii="Aptos" w:eastAsia="Times New Roman" w:hAnsi="Aptos" w:cs="Times New Roman"/>
          <w:kern w:val="0"/>
          <w:szCs w:val="24"/>
          <w:lang w:eastAsia="en-GB"/>
          <w14:ligatures w14:val="none"/>
        </w:rPr>
        <w:t>)</w:t>
      </w:r>
      <w:r w:rsidR="00153BE0" w:rsidRPr="005E5B3D">
        <w:rPr>
          <w:rFonts w:ascii="Aptos" w:eastAsia="Times New Roman" w:hAnsi="Aptos" w:cs="Times New Roman"/>
          <w:kern w:val="0"/>
          <w:szCs w:val="24"/>
          <w:lang w:eastAsia="en-GB"/>
          <w14:ligatures w14:val="none"/>
        </w:rPr>
        <w:t>; and</w:t>
      </w:r>
    </w:p>
    <w:p w14:paraId="66DFC0CE" w14:textId="2B142E6F" w:rsidR="00153BE0" w:rsidRPr="00584E1B" w:rsidRDefault="00153BE0" w:rsidP="00771666">
      <w:pPr>
        <w:pStyle w:val="ListParagraph"/>
        <w:numPr>
          <w:ilvl w:val="0"/>
          <w:numId w:val="9"/>
        </w:numPr>
        <w:spacing w:after="0" w:line="240" w:lineRule="auto"/>
        <w:jc w:val="both"/>
        <w:rPr>
          <w:rFonts w:ascii="Aptos" w:eastAsia="Calibri" w:hAnsi="Aptos" w:cs="Calibri"/>
          <w:color w:val="000000"/>
          <w:szCs w:val="24"/>
        </w:rPr>
      </w:pPr>
      <w:r>
        <w:rPr>
          <w:rFonts w:ascii="Aptos" w:eastAsia="Times New Roman" w:hAnsi="Aptos" w:cs="Times New Roman"/>
          <w:kern w:val="0"/>
          <w:szCs w:val="24"/>
          <w:lang w:eastAsia="en-GB"/>
          <w14:ligatures w14:val="none"/>
        </w:rPr>
        <w:t>withering Social Europe in the new EU economic governance context? (</w:t>
      </w:r>
      <w:r w:rsidRPr="00153BE0">
        <w:rPr>
          <w:rFonts w:ascii="Aptos" w:eastAsia="Times New Roman" w:hAnsi="Aptos" w:cs="Times New Roman"/>
          <w:b/>
          <w:bCs/>
          <w:kern w:val="0"/>
          <w:szCs w:val="24"/>
          <w:lang w:eastAsia="en-GB"/>
          <w14:ligatures w14:val="none"/>
        </w:rPr>
        <w:t xml:space="preserve">Bart </w:t>
      </w:r>
      <w:proofErr w:type="spellStart"/>
      <w:r w:rsidRPr="00153BE0">
        <w:rPr>
          <w:rFonts w:ascii="Aptos" w:eastAsia="Times New Roman" w:hAnsi="Aptos" w:cs="Times New Roman"/>
          <w:b/>
          <w:bCs/>
          <w:kern w:val="0"/>
          <w:szCs w:val="24"/>
          <w:lang w:eastAsia="en-GB"/>
          <w14:ligatures w14:val="none"/>
        </w:rPr>
        <w:t>Vanhercke</w:t>
      </w:r>
      <w:proofErr w:type="spellEnd"/>
      <w:r>
        <w:rPr>
          <w:rFonts w:ascii="Aptos" w:eastAsia="Times New Roman" w:hAnsi="Aptos" w:cs="Times New Roman"/>
          <w:kern w:val="0"/>
          <w:szCs w:val="24"/>
          <w:lang w:eastAsia="en-GB"/>
          <w14:ligatures w14:val="none"/>
        </w:rPr>
        <w:t>)</w:t>
      </w:r>
      <w:r w:rsidR="000107B2">
        <w:rPr>
          <w:rFonts w:ascii="Aptos" w:eastAsia="Times New Roman" w:hAnsi="Aptos" w:cs="Times New Roman"/>
          <w:kern w:val="0"/>
          <w:szCs w:val="24"/>
          <w:lang w:eastAsia="en-GB"/>
          <w14:ligatures w14:val="none"/>
        </w:rPr>
        <w:t>.</w:t>
      </w:r>
    </w:p>
    <w:p w14:paraId="6D2668ED" w14:textId="77777777" w:rsidR="000107B2" w:rsidRDefault="000107B2" w:rsidP="00C633C5">
      <w:pPr>
        <w:spacing w:after="0" w:line="240" w:lineRule="auto"/>
        <w:ind w:left="2880"/>
        <w:jc w:val="both"/>
        <w:rPr>
          <w:rFonts w:ascii="Aptos" w:eastAsia="Calibri" w:hAnsi="Aptos" w:cs="Calibri"/>
          <w:color w:val="000000"/>
          <w:szCs w:val="24"/>
        </w:rPr>
      </w:pPr>
    </w:p>
    <w:p w14:paraId="649E4B35" w14:textId="6AA8EA03" w:rsidR="00C633C5" w:rsidRPr="00C633C5" w:rsidRDefault="00C633C5" w:rsidP="00C633C5">
      <w:pPr>
        <w:spacing w:after="0" w:line="240" w:lineRule="auto"/>
        <w:ind w:left="2880"/>
        <w:jc w:val="both"/>
        <w:rPr>
          <w:rFonts w:ascii="Aptos" w:eastAsia="Calibri" w:hAnsi="Aptos" w:cs="Calibri"/>
          <w:color w:val="000000"/>
          <w:szCs w:val="24"/>
        </w:rPr>
      </w:pPr>
      <w:r w:rsidRPr="00C633C5">
        <w:rPr>
          <w:rFonts w:ascii="Aptos" w:eastAsia="Calibri" w:hAnsi="Aptos" w:cs="Calibri"/>
          <w:color w:val="000000"/>
          <w:szCs w:val="24"/>
        </w:rPr>
        <w:t>These presentations would be followed by Q&amp;A involving the panellists and audience.</w:t>
      </w:r>
    </w:p>
    <w:p w14:paraId="19F77C32" w14:textId="77777777" w:rsidR="00C633C5" w:rsidRDefault="00C633C5" w:rsidP="00220B13">
      <w:pPr>
        <w:spacing w:after="0" w:line="240" w:lineRule="auto"/>
        <w:ind w:left="2880"/>
        <w:jc w:val="both"/>
        <w:rPr>
          <w:rFonts w:ascii="Aptos" w:eastAsia="Calibri" w:hAnsi="Aptos" w:cs="Calibri"/>
          <w:color w:val="000000"/>
          <w:szCs w:val="24"/>
        </w:rPr>
      </w:pPr>
    </w:p>
    <w:p w14:paraId="1B8B7BC0" w14:textId="77777777" w:rsidR="000B1BF8" w:rsidRDefault="00B11C4A" w:rsidP="00220B13">
      <w:pPr>
        <w:spacing w:after="0" w:line="240" w:lineRule="auto"/>
        <w:ind w:left="2880"/>
        <w:jc w:val="both"/>
        <w:rPr>
          <w:rFonts w:ascii="Aptos" w:eastAsia="Calibri" w:hAnsi="Aptos" w:cs="Calibri"/>
          <w:color w:val="000000"/>
          <w:szCs w:val="24"/>
        </w:rPr>
      </w:pPr>
      <w:r w:rsidRPr="000B1BF8">
        <w:rPr>
          <w:rFonts w:ascii="Aptos" w:eastAsia="Calibri" w:hAnsi="Aptos" w:cs="Calibri"/>
          <w:i/>
          <w:iCs/>
          <w:color w:val="000000"/>
          <w:szCs w:val="24"/>
        </w:rPr>
        <w:t>Substantively</w:t>
      </w:r>
      <w:r w:rsidRPr="00A34BF6">
        <w:rPr>
          <w:rFonts w:ascii="Aptos" w:eastAsia="Calibri" w:hAnsi="Aptos" w:cs="Calibri"/>
          <w:color w:val="000000"/>
          <w:szCs w:val="24"/>
        </w:rPr>
        <w:t>, t</w:t>
      </w:r>
      <w:r w:rsidR="0056643F" w:rsidRPr="00A34BF6">
        <w:rPr>
          <w:rFonts w:ascii="Aptos" w:eastAsia="Calibri" w:hAnsi="Aptos" w:cs="Calibri"/>
          <w:color w:val="000000"/>
          <w:szCs w:val="24"/>
        </w:rPr>
        <w:t xml:space="preserve">he session’s significance </w:t>
      </w:r>
      <w:r w:rsidR="00101D54" w:rsidRPr="00A34BF6">
        <w:rPr>
          <w:rFonts w:ascii="Aptos" w:eastAsia="Calibri" w:hAnsi="Aptos" w:cs="Calibri"/>
          <w:color w:val="000000"/>
          <w:szCs w:val="24"/>
        </w:rPr>
        <w:t>concerns</w:t>
      </w:r>
      <w:r w:rsidR="0056643F" w:rsidRPr="00A34BF6">
        <w:rPr>
          <w:rFonts w:ascii="Aptos" w:eastAsia="Calibri" w:hAnsi="Aptos" w:cs="Calibri"/>
          <w:color w:val="000000"/>
          <w:szCs w:val="24"/>
        </w:rPr>
        <w:t xml:space="preserve"> the imperative for </w:t>
      </w:r>
      <w:r w:rsidRPr="00A34BF6">
        <w:rPr>
          <w:rFonts w:ascii="Aptos" w:eastAsia="Calibri" w:hAnsi="Aptos" w:cs="Calibri"/>
          <w:color w:val="000000"/>
          <w:szCs w:val="24"/>
        </w:rPr>
        <w:t xml:space="preserve">industrial relations in </w:t>
      </w:r>
      <w:r w:rsidR="0056643F" w:rsidRPr="00A34BF6">
        <w:rPr>
          <w:rFonts w:ascii="Aptos" w:eastAsia="Calibri" w:hAnsi="Aptos" w:cs="Calibri"/>
          <w:color w:val="000000"/>
          <w:szCs w:val="24"/>
        </w:rPr>
        <w:t>Europe to</w:t>
      </w:r>
      <w:r w:rsidR="00101D54" w:rsidRPr="00A34BF6">
        <w:rPr>
          <w:rFonts w:ascii="Aptos" w:eastAsia="Calibri" w:hAnsi="Aptos" w:cs="Calibri"/>
          <w:color w:val="000000"/>
          <w:szCs w:val="24"/>
        </w:rPr>
        <w:t xml:space="preserve"> play a key role in </w:t>
      </w:r>
      <w:r w:rsidR="00D433A2" w:rsidRPr="00A34BF6">
        <w:rPr>
          <w:rFonts w:ascii="Aptos" w:eastAsia="Calibri" w:hAnsi="Aptos" w:cs="Calibri"/>
          <w:color w:val="000000"/>
          <w:szCs w:val="24"/>
        </w:rPr>
        <w:t>informing</w:t>
      </w:r>
      <w:r w:rsidR="00101D54" w:rsidRPr="00A34BF6">
        <w:rPr>
          <w:rFonts w:ascii="Aptos" w:eastAsia="Calibri" w:hAnsi="Aptos" w:cs="Calibri"/>
          <w:color w:val="000000"/>
          <w:szCs w:val="24"/>
        </w:rPr>
        <w:t xml:space="preserve"> </w:t>
      </w:r>
      <w:r w:rsidR="00DA17BE" w:rsidRPr="00A34BF6">
        <w:rPr>
          <w:rFonts w:ascii="Aptos" w:eastAsia="Calibri" w:hAnsi="Aptos" w:cs="Calibri"/>
          <w:color w:val="000000"/>
          <w:szCs w:val="24"/>
        </w:rPr>
        <w:t xml:space="preserve">industrial policy </w:t>
      </w:r>
      <w:r w:rsidR="00101D54" w:rsidRPr="00A34BF6">
        <w:rPr>
          <w:rFonts w:ascii="Aptos" w:eastAsia="Calibri" w:hAnsi="Aptos" w:cs="Calibri"/>
          <w:color w:val="000000"/>
          <w:szCs w:val="24"/>
        </w:rPr>
        <w:t xml:space="preserve">aimed at </w:t>
      </w:r>
      <w:r w:rsidR="00014B3B" w:rsidRPr="00014B3B">
        <w:rPr>
          <w:rFonts w:ascii="Aptos" w:eastAsia="Calibri" w:hAnsi="Aptos" w:cs="Calibri"/>
          <w:color w:val="000000"/>
          <w:szCs w:val="24"/>
        </w:rPr>
        <w:t>support</w:t>
      </w:r>
      <w:r w:rsidR="00D433A2" w:rsidRPr="00A34BF6">
        <w:rPr>
          <w:rFonts w:ascii="Aptos" w:eastAsia="Calibri" w:hAnsi="Aptos" w:cs="Calibri"/>
          <w:color w:val="000000"/>
          <w:szCs w:val="24"/>
        </w:rPr>
        <w:t>ing</w:t>
      </w:r>
      <w:r w:rsidR="00014B3B" w:rsidRPr="00014B3B">
        <w:rPr>
          <w:rFonts w:ascii="Aptos" w:eastAsia="Calibri" w:hAnsi="Aptos" w:cs="Calibri"/>
          <w:color w:val="000000"/>
          <w:szCs w:val="24"/>
        </w:rPr>
        <w:t xml:space="preserve"> quality jobs</w:t>
      </w:r>
      <w:r w:rsidRPr="00A34BF6">
        <w:rPr>
          <w:rFonts w:ascii="Aptos" w:eastAsia="Calibri" w:hAnsi="Aptos" w:cs="Calibri"/>
          <w:color w:val="000000"/>
          <w:szCs w:val="24"/>
        </w:rPr>
        <w:t xml:space="preserve"> and the social conditionality of public funds</w:t>
      </w:r>
      <w:r w:rsidR="00014B3B" w:rsidRPr="00014B3B">
        <w:rPr>
          <w:rFonts w:ascii="Aptos" w:eastAsia="Calibri" w:hAnsi="Aptos" w:cs="Calibri"/>
          <w:color w:val="000000"/>
          <w:szCs w:val="24"/>
        </w:rPr>
        <w:t xml:space="preserve"> </w:t>
      </w:r>
      <w:r w:rsidR="00D433A2" w:rsidRPr="00A34BF6">
        <w:rPr>
          <w:rFonts w:ascii="Aptos" w:eastAsia="Calibri" w:hAnsi="Aptos" w:cs="Calibri"/>
          <w:color w:val="000000"/>
          <w:szCs w:val="24"/>
        </w:rPr>
        <w:t>to in turn</w:t>
      </w:r>
      <w:r w:rsidR="0064246C" w:rsidRPr="00A34BF6">
        <w:rPr>
          <w:rFonts w:ascii="Aptos" w:eastAsia="Calibri" w:hAnsi="Aptos" w:cs="Calibri"/>
          <w:color w:val="000000"/>
          <w:szCs w:val="24"/>
        </w:rPr>
        <w:t xml:space="preserve"> </w:t>
      </w:r>
      <w:r w:rsidR="00014B3B" w:rsidRPr="00014B3B">
        <w:rPr>
          <w:rFonts w:ascii="Aptos" w:eastAsia="Calibri" w:hAnsi="Aptos" w:cs="Calibri"/>
          <w:color w:val="000000"/>
          <w:szCs w:val="24"/>
        </w:rPr>
        <w:t xml:space="preserve">help ensure </w:t>
      </w:r>
      <w:r w:rsidR="00DA17BE" w:rsidRPr="00A34BF6">
        <w:rPr>
          <w:rFonts w:ascii="Aptos" w:eastAsia="Calibri" w:hAnsi="Aptos" w:cs="Calibri"/>
          <w:color w:val="000000"/>
          <w:szCs w:val="24"/>
        </w:rPr>
        <w:t xml:space="preserve">the </w:t>
      </w:r>
      <w:r w:rsidR="00014B3B" w:rsidRPr="00014B3B">
        <w:rPr>
          <w:rFonts w:ascii="Aptos" w:eastAsia="Calibri" w:hAnsi="Aptos" w:cs="Calibri"/>
          <w:color w:val="000000"/>
          <w:szCs w:val="24"/>
        </w:rPr>
        <w:t xml:space="preserve">respect </w:t>
      </w:r>
      <w:r w:rsidR="00DA17BE" w:rsidRPr="00A34BF6">
        <w:rPr>
          <w:rFonts w:ascii="Aptos" w:eastAsia="Calibri" w:hAnsi="Aptos" w:cs="Calibri"/>
          <w:color w:val="000000"/>
          <w:szCs w:val="24"/>
        </w:rPr>
        <w:t xml:space="preserve">and ongoing protection </w:t>
      </w:r>
      <w:r w:rsidR="00014B3B" w:rsidRPr="00014B3B">
        <w:rPr>
          <w:rFonts w:ascii="Aptos" w:eastAsia="Calibri" w:hAnsi="Aptos" w:cs="Calibri"/>
          <w:color w:val="000000"/>
          <w:szCs w:val="24"/>
        </w:rPr>
        <w:t>of union rights, worker interests and participation</w:t>
      </w:r>
      <w:r w:rsidR="00DA17BE" w:rsidRPr="00A34BF6">
        <w:rPr>
          <w:rFonts w:ascii="Aptos" w:eastAsia="Calibri" w:hAnsi="Aptos" w:cs="Calibri"/>
          <w:color w:val="000000"/>
          <w:szCs w:val="24"/>
        </w:rPr>
        <w:t xml:space="preserve">, and </w:t>
      </w:r>
      <w:r w:rsidR="000F08A0" w:rsidRPr="00A34BF6">
        <w:rPr>
          <w:rFonts w:ascii="Aptos" w:eastAsia="Calibri" w:hAnsi="Aptos" w:cs="Calibri"/>
          <w:color w:val="000000"/>
          <w:szCs w:val="24"/>
        </w:rPr>
        <w:t>wider so</w:t>
      </w:r>
      <w:r w:rsidR="00DA17BE" w:rsidRPr="00A34BF6">
        <w:rPr>
          <w:rFonts w:ascii="Aptos" w:eastAsia="Calibri" w:hAnsi="Aptos" w:cs="Calibri"/>
          <w:color w:val="000000"/>
          <w:szCs w:val="24"/>
        </w:rPr>
        <w:t>cietal inclusi</w:t>
      </w:r>
      <w:r w:rsidR="000F08A0" w:rsidRPr="00A34BF6">
        <w:rPr>
          <w:rFonts w:ascii="Aptos" w:eastAsia="Calibri" w:hAnsi="Aptos" w:cs="Calibri"/>
          <w:color w:val="000000"/>
          <w:szCs w:val="24"/>
        </w:rPr>
        <w:t>on</w:t>
      </w:r>
      <w:r w:rsidR="00DA17BE" w:rsidRPr="00A34BF6">
        <w:rPr>
          <w:rFonts w:ascii="Aptos" w:eastAsia="Calibri" w:hAnsi="Aptos" w:cs="Calibri"/>
          <w:color w:val="000000"/>
          <w:szCs w:val="24"/>
        </w:rPr>
        <w:t xml:space="preserve"> and well-being</w:t>
      </w:r>
      <w:r w:rsidR="00014B3B" w:rsidRPr="00014B3B">
        <w:rPr>
          <w:rFonts w:ascii="Aptos" w:eastAsia="Calibri" w:hAnsi="Aptos" w:cs="Calibri"/>
          <w:color w:val="000000"/>
          <w:szCs w:val="24"/>
        </w:rPr>
        <w:t xml:space="preserve">. </w:t>
      </w:r>
    </w:p>
    <w:p w14:paraId="03322AEF" w14:textId="77777777" w:rsidR="000B1BF8" w:rsidRDefault="000B1BF8" w:rsidP="00220B13">
      <w:pPr>
        <w:spacing w:after="0" w:line="240" w:lineRule="auto"/>
        <w:ind w:left="2880"/>
        <w:jc w:val="both"/>
        <w:rPr>
          <w:rFonts w:ascii="Aptos" w:eastAsia="Calibri" w:hAnsi="Aptos" w:cs="Calibri"/>
          <w:color w:val="000000"/>
          <w:szCs w:val="24"/>
        </w:rPr>
      </w:pPr>
    </w:p>
    <w:p w14:paraId="764A6722" w14:textId="51173AA8" w:rsidR="00DA17BE" w:rsidRDefault="0064246C" w:rsidP="00220B13">
      <w:pPr>
        <w:spacing w:after="0" w:line="240" w:lineRule="auto"/>
        <w:ind w:left="2880"/>
        <w:jc w:val="both"/>
        <w:rPr>
          <w:rFonts w:ascii="Aptos" w:eastAsia="Calibri" w:hAnsi="Aptos" w:cs="Calibri"/>
          <w:i/>
          <w:iCs/>
          <w:color w:val="000000"/>
          <w:szCs w:val="24"/>
        </w:rPr>
      </w:pPr>
      <w:proofErr w:type="spellStart"/>
      <w:r w:rsidRPr="000B1BF8">
        <w:rPr>
          <w:rFonts w:ascii="Aptos" w:eastAsia="Calibri" w:hAnsi="Aptos" w:cs="Calibri"/>
          <w:i/>
          <w:iCs/>
          <w:color w:val="000000"/>
          <w:szCs w:val="24"/>
        </w:rPr>
        <w:t>Processually</w:t>
      </w:r>
      <w:proofErr w:type="spellEnd"/>
      <w:r w:rsidRPr="00A34BF6">
        <w:rPr>
          <w:rFonts w:ascii="Aptos" w:eastAsia="Calibri" w:hAnsi="Aptos" w:cs="Calibri"/>
          <w:color w:val="000000"/>
          <w:szCs w:val="24"/>
        </w:rPr>
        <w:t>, the session</w:t>
      </w:r>
      <w:r w:rsidR="00D433A2" w:rsidRPr="00A34BF6">
        <w:rPr>
          <w:rFonts w:ascii="Aptos" w:eastAsia="Calibri" w:hAnsi="Aptos" w:cs="Calibri"/>
          <w:color w:val="000000"/>
          <w:szCs w:val="24"/>
        </w:rPr>
        <w:t xml:space="preserve"> </w:t>
      </w:r>
      <w:r w:rsidR="00220B13">
        <w:rPr>
          <w:rFonts w:ascii="Aptos" w:eastAsia="Calibri" w:hAnsi="Aptos" w:cs="Calibri"/>
          <w:color w:val="000000"/>
          <w:szCs w:val="24"/>
        </w:rPr>
        <w:t xml:space="preserve">is important </w:t>
      </w:r>
      <w:r w:rsidR="00D433A2" w:rsidRPr="00A34BF6">
        <w:rPr>
          <w:rFonts w:ascii="Aptos" w:eastAsia="Calibri" w:hAnsi="Aptos" w:cs="Calibri"/>
          <w:color w:val="000000"/>
          <w:szCs w:val="24"/>
        </w:rPr>
        <w:t xml:space="preserve">as a key forum </w:t>
      </w:r>
      <w:r w:rsidR="00A1757B" w:rsidRPr="00A34BF6">
        <w:rPr>
          <w:rFonts w:ascii="Aptos" w:eastAsia="Calibri" w:hAnsi="Aptos" w:cs="Calibri"/>
          <w:color w:val="000000"/>
          <w:szCs w:val="24"/>
        </w:rPr>
        <w:t>in which academics, policymakers, and practitioners can discuss</w:t>
      </w:r>
      <w:r w:rsidR="00D433A2" w:rsidRPr="00A34BF6">
        <w:rPr>
          <w:rFonts w:ascii="Aptos" w:eastAsia="Calibri" w:hAnsi="Aptos" w:cs="Calibri"/>
          <w:color w:val="000000"/>
          <w:szCs w:val="24"/>
        </w:rPr>
        <w:t xml:space="preserve"> empirical research of relevance from the ETUI, including recent </w:t>
      </w:r>
      <w:r w:rsidR="00A1757B" w:rsidRPr="00A34BF6">
        <w:rPr>
          <w:rFonts w:ascii="Aptos" w:eastAsia="Calibri" w:hAnsi="Aptos" w:cs="Calibri"/>
          <w:color w:val="000000"/>
          <w:szCs w:val="24"/>
        </w:rPr>
        <w:t>studies published in its house journal,</w:t>
      </w:r>
      <w:r w:rsidRPr="00A34BF6">
        <w:rPr>
          <w:rFonts w:ascii="Aptos" w:eastAsia="Calibri" w:hAnsi="Aptos" w:cs="Calibri"/>
          <w:color w:val="000000"/>
          <w:szCs w:val="24"/>
        </w:rPr>
        <w:t xml:space="preserve"> </w:t>
      </w:r>
      <w:r w:rsidRPr="00A34BF6">
        <w:rPr>
          <w:rFonts w:ascii="Aptos" w:eastAsia="Calibri" w:hAnsi="Aptos" w:cs="Calibri"/>
          <w:i/>
          <w:iCs/>
          <w:color w:val="000000"/>
          <w:szCs w:val="24"/>
        </w:rPr>
        <w:t>Transfer</w:t>
      </w:r>
      <w:r w:rsidR="00A1757B" w:rsidRPr="00A34BF6">
        <w:rPr>
          <w:rFonts w:ascii="Aptos" w:eastAsia="Calibri" w:hAnsi="Aptos" w:cs="Calibri"/>
          <w:i/>
          <w:iCs/>
          <w:color w:val="000000"/>
          <w:szCs w:val="24"/>
        </w:rPr>
        <w:t>: European Review of Labour and Research.</w:t>
      </w:r>
      <w:r w:rsidR="00220B13" w:rsidRPr="00220B13">
        <w:rPr>
          <w:rFonts w:ascii="Aptos" w:eastAsia="Calibri" w:hAnsi="Aptos" w:cs="Calibri"/>
          <w:color w:val="000000"/>
          <w:szCs w:val="24"/>
        </w:rPr>
        <w:t xml:space="preserve"> The session would also be supported by an ETUI book stall at the conference</w:t>
      </w:r>
      <w:r w:rsidR="006F5AE2">
        <w:rPr>
          <w:rFonts w:ascii="Aptos" w:eastAsia="Calibri" w:hAnsi="Aptos" w:cs="Calibri"/>
          <w:color w:val="000000"/>
          <w:szCs w:val="24"/>
        </w:rPr>
        <w:t xml:space="preserve">, and publicity by the Institute’s Communications and Publications department. </w:t>
      </w:r>
    </w:p>
    <w:p w14:paraId="1D6DE459" w14:textId="77777777" w:rsidR="00220B13" w:rsidRPr="00A34BF6" w:rsidRDefault="00220B13" w:rsidP="00220B13">
      <w:pPr>
        <w:spacing w:after="0" w:line="240" w:lineRule="auto"/>
        <w:ind w:left="2880"/>
        <w:jc w:val="both"/>
        <w:rPr>
          <w:rFonts w:ascii="Aptos" w:eastAsia="Calibri" w:hAnsi="Aptos" w:cs="Calibri"/>
          <w:color w:val="000000"/>
          <w:szCs w:val="24"/>
        </w:rPr>
      </w:pPr>
    </w:p>
    <w:p w14:paraId="653A8086" w14:textId="1BDDDA97" w:rsidR="00E54F72" w:rsidRPr="000515F9" w:rsidRDefault="00220B13" w:rsidP="006A710D">
      <w:pPr>
        <w:spacing w:after="0" w:line="240" w:lineRule="auto"/>
        <w:ind w:left="2160" w:hanging="2160"/>
        <w:jc w:val="both"/>
        <w:rPr>
          <w:rFonts w:ascii="Aptos" w:hAnsi="Aptos"/>
          <w:b/>
          <w:bCs/>
          <w:sz w:val="20"/>
        </w:rPr>
      </w:pPr>
      <w:r>
        <w:rPr>
          <w:rFonts w:ascii="Aptos" w:hAnsi="Aptos"/>
          <w:b/>
          <w:bCs/>
        </w:rPr>
        <w:tab/>
      </w:r>
      <w:r w:rsidR="00E54F72" w:rsidRPr="000515F9">
        <w:rPr>
          <w:rFonts w:ascii="Aptos" w:hAnsi="Aptos"/>
          <w:b/>
          <w:bCs/>
        </w:rPr>
        <w:tab/>
      </w:r>
      <w:r w:rsidR="00E54F72" w:rsidRPr="000515F9">
        <w:rPr>
          <w:rFonts w:ascii="Aptos" w:hAnsi="Aptos"/>
          <w:b/>
          <w:bCs/>
          <w:sz w:val="20"/>
        </w:rPr>
        <w:t>References</w:t>
      </w:r>
    </w:p>
    <w:p w14:paraId="7A3FFFB2" w14:textId="77777777" w:rsidR="006A710D" w:rsidRPr="000515F9" w:rsidRDefault="006A710D" w:rsidP="006A710D">
      <w:pPr>
        <w:spacing w:after="0" w:line="240" w:lineRule="auto"/>
        <w:ind w:left="2160"/>
        <w:jc w:val="both"/>
        <w:rPr>
          <w:rFonts w:ascii="Aptos" w:hAnsi="Aptos"/>
          <w:sz w:val="20"/>
        </w:rPr>
      </w:pPr>
    </w:p>
    <w:p w14:paraId="16923E63" w14:textId="4B8CF92D" w:rsidR="006A710D" w:rsidRPr="000515F9" w:rsidRDefault="006A710D" w:rsidP="00220B13">
      <w:pPr>
        <w:spacing w:after="0" w:line="240" w:lineRule="auto"/>
        <w:ind w:left="2880"/>
        <w:jc w:val="both"/>
        <w:rPr>
          <w:rFonts w:ascii="Aptos" w:hAnsi="Aptos"/>
          <w:sz w:val="20"/>
        </w:rPr>
      </w:pPr>
      <w:r w:rsidRPr="000515F9">
        <w:rPr>
          <w:rFonts w:ascii="Aptos" w:hAnsi="Aptos"/>
          <w:sz w:val="20"/>
        </w:rPr>
        <w:t>Draghi, M. (2024). The future of European competitiveness: Part A – A competitiveness strategy for Europe. September. Brussels: EC.</w:t>
      </w:r>
      <w:r w:rsidR="00E54F72" w:rsidRPr="000515F9">
        <w:rPr>
          <w:rFonts w:ascii="Aptos" w:hAnsi="Aptos"/>
          <w:sz w:val="20"/>
        </w:rPr>
        <w:tab/>
      </w:r>
    </w:p>
    <w:p w14:paraId="569B3109" w14:textId="21312CA6" w:rsidR="00E54F72" w:rsidRPr="000515F9" w:rsidRDefault="00E54F72" w:rsidP="00220B13">
      <w:pPr>
        <w:spacing w:after="0" w:line="240" w:lineRule="auto"/>
        <w:ind w:left="2880"/>
        <w:jc w:val="both"/>
        <w:rPr>
          <w:rFonts w:ascii="Aptos" w:hAnsi="Aptos"/>
          <w:sz w:val="20"/>
        </w:rPr>
      </w:pPr>
      <w:r w:rsidRPr="000515F9">
        <w:rPr>
          <w:rFonts w:ascii="Aptos" w:hAnsi="Aptos"/>
          <w:sz w:val="20"/>
        </w:rPr>
        <w:t xml:space="preserve">EC. (2024). Delivering a strong Social Europe. </w:t>
      </w:r>
      <w:hyperlink r:id="rId7" w:history="1">
        <w:r w:rsidR="00220B13" w:rsidRPr="00D5420C">
          <w:rPr>
            <w:rStyle w:val="Hyperlink"/>
            <w:rFonts w:ascii="Aptos" w:hAnsi="Aptos"/>
            <w:sz w:val="20"/>
          </w:rPr>
          <w:t>https://commission.europa.eu/strategy-and-policy/priorities-2019-2024/economy-works-people/delivering-strong-social-europe_en</w:t>
        </w:r>
      </w:hyperlink>
      <w:r w:rsidRPr="000515F9">
        <w:rPr>
          <w:rFonts w:ascii="Aptos" w:hAnsi="Aptos"/>
          <w:sz w:val="20"/>
        </w:rPr>
        <w:t xml:space="preserve"> </w:t>
      </w:r>
    </w:p>
    <w:p w14:paraId="6CD0EE69" w14:textId="4171B362" w:rsidR="000F08A0" w:rsidRDefault="000F08A0" w:rsidP="00220B13">
      <w:pPr>
        <w:spacing w:after="0" w:line="240" w:lineRule="auto"/>
        <w:ind w:left="2880"/>
        <w:jc w:val="both"/>
        <w:rPr>
          <w:rFonts w:ascii="Aptos" w:hAnsi="Aptos"/>
          <w:sz w:val="20"/>
        </w:rPr>
      </w:pPr>
      <w:r w:rsidRPr="000515F9">
        <w:rPr>
          <w:rFonts w:ascii="Aptos" w:hAnsi="Aptos"/>
          <w:sz w:val="20"/>
        </w:rPr>
        <w:t xml:space="preserve">ETUC. (2024). Adopted Resolution - Roadmap to establish a Trade Union Renewal Centre. Adopted 26 March, Brussels: ETUC, </w:t>
      </w:r>
      <w:hyperlink r:id="rId8" w:history="1">
        <w:r w:rsidRPr="000515F9">
          <w:rPr>
            <w:rStyle w:val="Hyperlink"/>
            <w:rFonts w:ascii="Aptos" w:hAnsi="Aptos"/>
            <w:sz w:val="20"/>
            <w:u w:val="none"/>
          </w:rPr>
          <w:t>https://www.etuc.org/en/document/en-adopted-resolution-roadmap-establish-trade-union-renewal-centre</w:t>
        </w:r>
      </w:hyperlink>
      <w:r w:rsidRPr="000515F9">
        <w:rPr>
          <w:rFonts w:ascii="Aptos" w:hAnsi="Aptos"/>
          <w:sz w:val="20"/>
        </w:rPr>
        <w:t xml:space="preserve"> </w:t>
      </w:r>
    </w:p>
    <w:p w14:paraId="0E31669F" w14:textId="00FF146D" w:rsidR="000B1BF8" w:rsidRPr="000515F9" w:rsidRDefault="00B36035" w:rsidP="00220B13">
      <w:pPr>
        <w:spacing w:after="0" w:line="240" w:lineRule="auto"/>
        <w:ind w:left="2880"/>
        <w:jc w:val="both"/>
        <w:rPr>
          <w:rFonts w:ascii="Aptos" w:hAnsi="Aptos"/>
          <w:sz w:val="20"/>
        </w:rPr>
      </w:pPr>
      <w:proofErr w:type="spellStart"/>
      <w:r w:rsidRPr="00B36035">
        <w:rPr>
          <w:rFonts w:ascii="Aptos" w:hAnsi="Aptos"/>
          <w:sz w:val="20"/>
        </w:rPr>
        <w:t>Piasna</w:t>
      </w:r>
      <w:proofErr w:type="spellEnd"/>
      <w:r w:rsidRPr="00B36035">
        <w:rPr>
          <w:rFonts w:ascii="Aptos" w:hAnsi="Aptos"/>
          <w:sz w:val="20"/>
        </w:rPr>
        <w:t xml:space="preserve">, A., Theodoropoulou, S. and </w:t>
      </w:r>
      <w:proofErr w:type="spellStart"/>
      <w:r w:rsidRPr="00B36035">
        <w:rPr>
          <w:rFonts w:ascii="Aptos" w:hAnsi="Aptos"/>
          <w:sz w:val="20"/>
        </w:rPr>
        <w:t>Vanhercke</w:t>
      </w:r>
      <w:proofErr w:type="spellEnd"/>
      <w:r w:rsidRPr="00B36035">
        <w:rPr>
          <w:rFonts w:ascii="Aptos" w:hAnsi="Aptos"/>
          <w:sz w:val="20"/>
        </w:rPr>
        <w:t xml:space="preserve">, B. </w:t>
      </w:r>
      <w:r>
        <w:rPr>
          <w:rFonts w:ascii="Aptos" w:hAnsi="Aptos"/>
          <w:sz w:val="20"/>
        </w:rPr>
        <w:t xml:space="preserve">(eds) </w:t>
      </w:r>
      <w:r w:rsidR="000B1BF8">
        <w:rPr>
          <w:rFonts w:ascii="Aptos" w:hAnsi="Aptos"/>
          <w:sz w:val="20"/>
        </w:rPr>
        <w:t xml:space="preserve">(2025). </w:t>
      </w:r>
      <w:r w:rsidR="000B1BF8" w:rsidRPr="00A60145">
        <w:rPr>
          <w:rFonts w:ascii="Aptos" w:hAnsi="Aptos"/>
          <w:i/>
          <w:iCs/>
          <w:sz w:val="20"/>
        </w:rPr>
        <w:t xml:space="preserve">Benchmarking Working Europe 2025: </w:t>
      </w:r>
      <w:r w:rsidR="00A60145" w:rsidRPr="00A60145">
        <w:rPr>
          <w:rFonts w:ascii="Aptos" w:hAnsi="Aptos"/>
          <w:i/>
          <w:iCs/>
          <w:sz w:val="20"/>
        </w:rPr>
        <w:t>Quality jobs for sustainable competitiveness</w:t>
      </w:r>
      <w:r w:rsidR="00A60145">
        <w:rPr>
          <w:rFonts w:ascii="Aptos" w:hAnsi="Aptos"/>
          <w:sz w:val="20"/>
        </w:rPr>
        <w:t>. Brussels: ETU</w:t>
      </w:r>
      <w:r>
        <w:rPr>
          <w:rFonts w:ascii="Aptos" w:hAnsi="Aptos"/>
          <w:sz w:val="20"/>
        </w:rPr>
        <w:t>I and ETUC,</w:t>
      </w:r>
      <w:r w:rsidR="00A60145">
        <w:rPr>
          <w:rFonts w:ascii="Aptos" w:hAnsi="Aptos"/>
          <w:sz w:val="20"/>
        </w:rPr>
        <w:t xml:space="preserve"> forthcoming.</w:t>
      </w:r>
    </w:p>
    <w:p w14:paraId="6D81F782" w14:textId="551BD0FB" w:rsidR="00A1757B" w:rsidRPr="00005506" w:rsidRDefault="000515F9" w:rsidP="00220B13">
      <w:pPr>
        <w:spacing w:after="0" w:line="240" w:lineRule="auto"/>
        <w:ind w:left="2880"/>
        <w:jc w:val="both"/>
        <w:rPr>
          <w:rFonts w:ascii="Aptos" w:hAnsi="Aptos"/>
          <w:sz w:val="20"/>
        </w:rPr>
      </w:pPr>
      <w:r w:rsidRPr="000515F9">
        <w:rPr>
          <w:rFonts w:ascii="Aptos" w:eastAsia="Calibri" w:hAnsi="Aptos" w:cs="Calibri"/>
          <w:i/>
          <w:iCs/>
          <w:color w:val="000000"/>
          <w:sz w:val="20"/>
          <w:szCs w:val="24"/>
        </w:rPr>
        <w:t xml:space="preserve">Transfer: European Review of Labour and Research. </w:t>
      </w:r>
      <w:hyperlink r:id="rId9" w:history="1">
        <w:r w:rsidR="00220B13" w:rsidRPr="00005506">
          <w:rPr>
            <w:rStyle w:val="Hyperlink"/>
            <w:rFonts w:ascii="Aptos" w:eastAsia="Calibri" w:hAnsi="Aptos" w:cs="Calibri"/>
            <w:sz w:val="20"/>
            <w:szCs w:val="24"/>
          </w:rPr>
          <w:t>https://journals.sagepub.com/home/TRS</w:t>
        </w:r>
      </w:hyperlink>
      <w:r w:rsidRPr="00005506">
        <w:rPr>
          <w:rFonts w:ascii="Aptos" w:eastAsia="Calibri" w:hAnsi="Aptos" w:cs="Calibri"/>
          <w:color w:val="000000"/>
          <w:sz w:val="20"/>
          <w:szCs w:val="24"/>
        </w:rPr>
        <w:t xml:space="preserve"> </w:t>
      </w:r>
    </w:p>
    <w:p w14:paraId="62EA2307" w14:textId="1AB51551" w:rsidR="00E54F72" w:rsidRPr="00005506" w:rsidRDefault="00E54F72" w:rsidP="006A710D">
      <w:pPr>
        <w:spacing w:after="0" w:line="240" w:lineRule="auto"/>
        <w:ind w:left="2160" w:hanging="2160"/>
        <w:jc w:val="both"/>
        <w:rPr>
          <w:rFonts w:ascii="Aptos" w:hAnsi="Aptos"/>
          <w:sz w:val="20"/>
        </w:rPr>
      </w:pPr>
    </w:p>
    <w:p w14:paraId="41C68586" w14:textId="35EA6E4C" w:rsidR="006F5AE2" w:rsidRPr="00005506" w:rsidRDefault="00800F35" w:rsidP="006F5AE2">
      <w:pPr>
        <w:spacing w:after="0" w:line="240" w:lineRule="auto"/>
        <w:ind w:left="2160" w:hanging="2160"/>
        <w:jc w:val="both"/>
        <w:rPr>
          <w:rFonts w:ascii="Aptos" w:hAnsi="Aptos"/>
        </w:rPr>
      </w:pPr>
      <w:r>
        <w:rPr>
          <w:rFonts w:ascii="Aptos" w:hAnsi="Aptos"/>
          <w:b/>
          <w:bCs/>
        </w:rPr>
        <w:t>P</w:t>
      </w:r>
      <w:r w:rsidR="00220B13" w:rsidRPr="00005506">
        <w:rPr>
          <w:rFonts w:ascii="Aptos" w:hAnsi="Aptos"/>
          <w:b/>
          <w:bCs/>
        </w:rPr>
        <w:t>articipants</w:t>
      </w:r>
      <w:r w:rsidR="0004464D">
        <w:rPr>
          <w:rFonts w:ascii="Aptos" w:hAnsi="Aptos"/>
          <w:b/>
          <w:bCs/>
        </w:rPr>
        <w:t xml:space="preserve"> (tentative)</w:t>
      </w:r>
      <w:r>
        <w:rPr>
          <w:rFonts w:ascii="Aptos" w:hAnsi="Aptos"/>
          <w:b/>
          <w:bCs/>
        </w:rPr>
        <w:tab/>
      </w:r>
      <w:r w:rsidR="006F5AE2" w:rsidRPr="00005506">
        <w:rPr>
          <w:rFonts w:ascii="Aptos" w:hAnsi="Aptos"/>
        </w:rPr>
        <w:t xml:space="preserve">Kalina </w:t>
      </w:r>
      <w:proofErr w:type="spellStart"/>
      <w:r w:rsidR="006F5AE2" w:rsidRPr="00005506">
        <w:rPr>
          <w:rFonts w:ascii="Aptos" w:hAnsi="Aptos"/>
        </w:rPr>
        <w:t>Arabadjieva</w:t>
      </w:r>
      <w:proofErr w:type="spellEnd"/>
      <w:r w:rsidR="00F408EB" w:rsidRPr="00005506">
        <w:rPr>
          <w:rFonts w:ascii="Aptos" w:hAnsi="Aptos"/>
        </w:rPr>
        <w:tab/>
        <w:t>Presenter</w:t>
      </w:r>
    </w:p>
    <w:p w14:paraId="415C3FD1" w14:textId="50DEAB6E" w:rsidR="006F5AE2" w:rsidRPr="00005506" w:rsidRDefault="006F5AE2" w:rsidP="006F5AE2">
      <w:pPr>
        <w:spacing w:after="0" w:line="240" w:lineRule="auto"/>
        <w:ind w:left="2160" w:firstLine="720"/>
        <w:jc w:val="both"/>
        <w:rPr>
          <w:rFonts w:ascii="Aptos" w:hAnsi="Aptos"/>
        </w:rPr>
      </w:pPr>
      <w:r w:rsidRPr="00005506">
        <w:rPr>
          <w:rFonts w:ascii="Aptos" w:hAnsi="Aptos"/>
        </w:rPr>
        <w:t>Béla Galgóczi</w:t>
      </w:r>
      <w:r w:rsidR="00F408EB" w:rsidRPr="00005506">
        <w:rPr>
          <w:rFonts w:ascii="Aptos" w:hAnsi="Aptos"/>
        </w:rPr>
        <w:tab/>
      </w:r>
      <w:r w:rsidR="00F408EB" w:rsidRPr="00005506">
        <w:rPr>
          <w:rFonts w:ascii="Aptos" w:hAnsi="Aptos"/>
        </w:rPr>
        <w:tab/>
        <w:t>Presenter</w:t>
      </w:r>
    </w:p>
    <w:p w14:paraId="749E06EB" w14:textId="58C74A9D" w:rsidR="006F5AE2" w:rsidRPr="00F408EB" w:rsidRDefault="00686BE5" w:rsidP="006A710D">
      <w:pPr>
        <w:spacing w:after="0" w:line="240" w:lineRule="auto"/>
        <w:ind w:left="2160" w:hanging="2160"/>
        <w:jc w:val="both"/>
        <w:rPr>
          <w:rFonts w:ascii="Aptos" w:hAnsi="Aptos"/>
        </w:rPr>
      </w:pPr>
      <w:r w:rsidRPr="00005506">
        <w:rPr>
          <w:rFonts w:ascii="Aptos" w:hAnsi="Aptos"/>
        </w:rPr>
        <w:tab/>
      </w:r>
      <w:r w:rsidRPr="00005506">
        <w:rPr>
          <w:rFonts w:ascii="Aptos" w:hAnsi="Aptos"/>
        </w:rPr>
        <w:tab/>
      </w:r>
      <w:r w:rsidR="006F5AE2" w:rsidRPr="00F408EB">
        <w:rPr>
          <w:rFonts w:ascii="Aptos" w:hAnsi="Aptos"/>
        </w:rPr>
        <w:t>Jane Parker</w:t>
      </w:r>
      <w:r w:rsidR="00C633C5" w:rsidRPr="00F408EB">
        <w:rPr>
          <w:rFonts w:ascii="Aptos" w:hAnsi="Aptos"/>
        </w:rPr>
        <w:tab/>
      </w:r>
      <w:r w:rsidR="00C633C5" w:rsidRPr="00F408EB">
        <w:rPr>
          <w:rFonts w:ascii="Aptos" w:hAnsi="Aptos"/>
        </w:rPr>
        <w:tab/>
        <w:t xml:space="preserve">Chair </w:t>
      </w:r>
      <w:r w:rsidR="00F408EB" w:rsidRPr="00F408EB">
        <w:rPr>
          <w:rFonts w:ascii="Aptos" w:hAnsi="Aptos"/>
        </w:rPr>
        <w:t>and/or p</w:t>
      </w:r>
      <w:r w:rsidR="00F408EB">
        <w:rPr>
          <w:rFonts w:ascii="Aptos" w:hAnsi="Aptos"/>
        </w:rPr>
        <w:t>resenter</w:t>
      </w:r>
    </w:p>
    <w:p w14:paraId="0793FD69" w14:textId="1912246F" w:rsidR="00686BE5" w:rsidRDefault="006F5AE2" w:rsidP="006A710D">
      <w:pPr>
        <w:spacing w:after="0" w:line="240" w:lineRule="auto"/>
        <w:ind w:left="2160" w:hanging="2160"/>
        <w:jc w:val="both"/>
        <w:rPr>
          <w:rFonts w:ascii="Aptos" w:hAnsi="Aptos"/>
        </w:rPr>
      </w:pPr>
      <w:r w:rsidRPr="00F408EB">
        <w:rPr>
          <w:rFonts w:ascii="Aptos" w:hAnsi="Aptos"/>
        </w:rPr>
        <w:tab/>
      </w:r>
      <w:r w:rsidRPr="00F408EB">
        <w:rPr>
          <w:rFonts w:ascii="Aptos" w:hAnsi="Aptos"/>
        </w:rPr>
        <w:tab/>
      </w:r>
      <w:r w:rsidR="00C01559" w:rsidRPr="00C01559">
        <w:rPr>
          <w:rFonts w:ascii="Aptos" w:hAnsi="Aptos"/>
        </w:rPr>
        <w:t>Agni</w:t>
      </w:r>
      <w:r w:rsidR="001018EC">
        <w:rPr>
          <w:rFonts w:ascii="Aptos" w:hAnsi="Aptos"/>
        </w:rPr>
        <w:t>e</w:t>
      </w:r>
      <w:r w:rsidR="00C01559" w:rsidRPr="00C01559">
        <w:rPr>
          <w:rFonts w:ascii="Aptos" w:hAnsi="Aptos"/>
        </w:rPr>
        <w:t xml:space="preserve">szka </w:t>
      </w:r>
      <w:proofErr w:type="spellStart"/>
      <w:r w:rsidR="00C01559" w:rsidRPr="00C01559">
        <w:rPr>
          <w:rFonts w:ascii="Aptos" w:hAnsi="Aptos"/>
        </w:rPr>
        <w:t>P</w:t>
      </w:r>
      <w:r w:rsidR="00C01559">
        <w:rPr>
          <w:rFonts w:ascii="Aptos" w:hAnsi="Aptos"/>
        </w:rPr>
        <w:t>iasna</w:t>
      </w:r>
      <w:proofErr w:type="spellEnd"/>
      <w:r w:rsidR="00C01559">
        <w:rPr>
          <w:rFonts w:ascii="Aptos" w:hAnsi="Aptos"/>
        </w:rPr>
        <w:tab/>
        <w:t>Presenter</w:t>
      </w:r>
    </w:p>
    <w:p w14:paraId="6CF957EE" w14:textId="5800C877" w:rsidR="00F361F6" w:rsidRPr="00F361F6" w:rsidRDefault="00F361F6" w:rsidP="006A710D">
      <w:pPr>
        <w:spacing w:after="0" w:line="240" w:lineRule="auto"/>
        <w:ind w:left="2160" w:hanging="2160"/>
        <w:jc w:val="both"/>
        <w:rPr>
          <w:rFonts w:ascii="Aptos" w:hAnsi="Aptos"/>
          <w:lang w:val="de-DE"/>
        </w:rPr>
      </w:pPr>
      <w:r>
        <w:rPr>
          <w:rFonts w:ascii="Aptos" w:hAnsi="Aptos"/>
        </w:rPr>
        <w:tab/>
      </w:r>
      <w:r>
        <w:rPr>
          <w:rFonts w:ascii="Aptos" w:hAnsi="Aptos"/>
        </w:rPr>
        <w:tab/>
      </w:r>
      <w:r w:rsidRPr="00F361F6">
        <w:rPr>
          <w:rFonts w:ascii="Aptos" w:hAnsi="Aptos"/>
          <w:lang w:val="de-DE"/>
        </w:rPr>
        <w:t>Bart V</w:t>
      </w:r>
      <w:r>
        <w:rPr>
          <w:rFonts w:ascii="Aptos" w:hAnsi="Aptos"/>
          <w:lang w:val="de-DE"/>
        </w:rPr>
        <w:t>anhercke</w:t>
      </w:r>
      <w:r>
        <w:rPr>
          <w:rFonts w:ascii="Aptos" w:hAnsi="Aptos"/>
          <w:lang w:val="de-DE"/>
        </w:rPr>
        <w:tab/>
      </w:r>
      <w:r>
        <w:rPr>
          <w:rFonts w:ascii="Aptos" w:hAnsi="Aptos"/>
          <w:lang w:val="de-DE"/>
        </w:rPr>
        <w:tab/>
        <w:t>Presenter</w:t>
      </w:r>
    </w:p>
    <w:p w14:paraId="4A68FDEB" w14:textId="51D8EF96" w:rsidR="00A60145" w:rsidRPr="004565A3" w:rsidRDefault="00A60145" w:rsidP="006A710D">
      <w:pPr>
        <w:spacing w:after="0" w:line="240" w:lineRule="auto"/>
        <w:ind w:left="2160" w:hanging="2160"/>
        <w:jc w:val="both"/>
        <w:rPr>
          <w:rFonts w:ascii="Aptos" w:hAnsi="Aptos"/>
          <w:lang w:val="de-DE"/>
        </w:rPr>
      </w:pPr>
      <w:r w:rsidRPr="00F361F6">
        <w:rPr>
          <w:rFonts w:ascii="Aptos" w:hAnsi="Aptos"/>
          <w:color w:val="FF0000"/>
          <w:lang w:val="de-DE"/>
        </w:rPr>
        <w:tab/>
      </w:r>
      <w:r w:rsidRPr="00F361F6">
        <w:rPr>
          <w:rFonts w:ascii="Aptos" w:hAnsi="Aptos"/>
          <w:color w:val="FF0000"/>
          <w:lang w:val="de-DE"/>
        </w:rPr>
        <w:tab/>
      </w:r>
      <w:r w:rsidRPr="004565A3">
        <w:rPr>
          <w:rFonts w:ascii="Aptos" w:hAnsi="Aptos"/>
          <w:lang w:val="de-DE"/>
        </w:rPr>
        <w:t>Wouter Zwysen</w:t>
      </w:r>
      <w:r w:rsidRPr="004565A3">
        <w:rPr>
          <w:rFonts w:ascii="Aptos" w:hAnsi="Aptos"/>
          <w:lang w:val="de-DE"/>
        </w:rPr>
        <w:tab/>
        <w:t>Presenter</w:t>
      </w:r>
    </w:p>
    <w:sectPr w:rsidR="00A60145" w:rsidRPr="004565A3">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5211B2A" w14:textId="77777777" w:rsidR="009B432F" w:rsidRDefault="009B432F" w:rsidP="00040081">
      <w:pPr>
        <w:spacing w:after="0" w:line="240" w:lineRule="auto"/>
      </w:pPr>
      <w:r>
        <w:separator/>
      </w:r>
    </w:p>
  </w:endnote>
  <w:endnote w:type="continuationSeparator" w:id="0">
    <w:p w14:paraId="350030CD" w14:textId="77777777" w:rsidR="009B432F" w:rsidRDefault="009B432F" w:rsidP="0004008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593BBEE" w14:textId="77777777" w:rsidR="009B432F" w:rsidRDefault="009B432F" w:rsidP="00040081">
      <w:pPr>
        <w:spacing w:after="0" w:line="240" w:lineRule="auto"/>
      </w:pPr>
      <w:r>
        <w:separator/>
      </w:r>
    </w:p>
  </w:footnote>
  <w:footnote w:type="continuationSeparator" w:id="0">
    <w:p w14:paraId="44FB928D" w14:textId="77777777" w:rsidR="009B432F" w:rsidRDefault="009B432F" w:rsidP="0004008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73E1768"/>
    <w:multiLevelType w:val="hybridMultilevel"/>
    <w:tmpl w:val="733065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C3D4091"/>
    <w:multiLevelType w:val="hybridMultilevel"/>
    <w:tmpl w:val="B2D2A6A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7D61C73"/>
    <w:multiLevelType w:val="hybridMultilevel"/>
    <w:tmpl w:val="38162F8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D9F0F81"/>
    <w:multiLevelType w:val="hybridMultilevel"/>
    <w:tmpl w:val="FC9466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7B694A"/>
    <w:multiLevelType w:val="hybridMultilevel"/>
    <w:tmpl w:val="2A22B8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7687041"/>
    <w:multiLevelType w:val="multilevel"/>
    <w:tmpl w:val="823CBBF6"/>
    <w:lvl w:ilvl="0">
      <w:start w:val="1"/>
      <w:numFmt w:val="decimal"/>
      <w:lvlText w:val="%1)"/>
      <w:lvlJc w:val="left"/>
      <w:pPr>
        <w:ind w:left="720"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6" w15:restartNumberingAfterBreak="0">
    <w:nsid w:val="5AC15506"/>
    <w:multiLevelType w:val="hybridMultilevel"/>
    <w:tmpl w:val="5FA6F394"/>
    <w:lvl w:ilvl="0" w:tplc="5B3C94A8">
      <w:start w:val="9"/>
      <w:numFmt w:val="bullet"/>
      <w:lvlText w:val=""/>
      <w:lvlJc w:val="left"/>
      <w:pPr>
        <w:ind w:left="3240" w:hanging="360"/>
      </w:pPr>
      <w:rPr>
        <w:rFonts w:ascii="Symbol" w:eastAsiaTheme="minorHAnsi" w:hAnsi="Symbol" w:cstheme="minorBidi" w:hint="default"/>
      </w:rPr>
    </w:lvl>
    <w:lvl w:ilvl="1" w:tplc="08090003" w:tentative="1">
      <w:start w:val="1"/>
      <w:numFmt w:val="bullet"/>
      <w:lvlText w:val="o"/>
      <w:lvlJc w:val="left"/>
      <w:pPr>
        <w:ind w:left="3960" w:hanging="360"/>
      </w:pPr>
      <w:rPr>
        <w:rFonts w:ascii="Courier New" w:hAnsi="Courier New" w:cs="Courier New" w:hint="default"/>
      </w:rPr>
    </w:lvl>
    <w:lvl w:ilvl="2" w:tplc="08090005" w:tentative="1">
      <w:start w:val="1"/>
      <w:numFmt w:val="bullet"/>
      <w:lvlText w:val=""/>
      <w:lvlJc w:val="left"/>
      <w:pPr>
        <w:ind w:left="4680" w:hanging="360"/>
      </w:pPr>
      <w:rPr>
        <w:rFonts w:ascii="Wingdings" w:hAnsi="Wingdings" w:hint="default"/>
      </w:rPr>
    </w:lvl>
    <w:lvl w:ilvl="3" w:tplc="08090001" w:tentative="1">
      <w:start w:val="1"/>
      <w:numFmt w:val="bullet"/>
      <w:lvlText w:val=""/>
      <w:lvlJc w:val="left"/>
      <w:pPr>
        <w:ind w:left="5400" w:hanging="360"/>
      </w:pPr>
      <w:rPr>
        <w:rFonts w:ascii="Symbol" w:hAnsi="Symbol" w:hint="default"/>
      </w:rPr>
    </w:lvl>
    <w:lvl w:ilvl="4" w:tplc="08090003" w:tentative="1">
      <w:start w:val="1"/>
      <w:numFmt w:val="bullet"/>
      <w:lvlText w:val="o"/>
      <w:lvlJc w:val="left"/>
      <w:pPr>
        <w:ind w:left="6120" w:hanging="360"/>
      </w:pPr>
      <w:rPr>
        <w:rFonts w:ascii="Courier New" w:hAnsi="Courier New" w:cs="Courier New" w:hint="default"/>
      </w:rPr>
    </w:lvl>
    <w:lvl w:ilvl="5" w:tplc="08090005" w:tentative="1">
      <w:start w:val="1"/>
      <w:numFmt w:val="bullet"/>
      <w:lvlText w:val=""/>
      <w:lvlJc w:val="left"/>
      <w:pPr>
        <w:ind w:left="6840" w:hanging="360"/>
      </w:pPr>
      <w:rPr>
        <w:rFonts w:ascii="Wingdings" w:hAnsi="Wingdings" w:hint="default"/>
      </w:rPr>
    </w:lvl>
    <w:lvl w:ilvl="6" w:tplc="08090001" w:tentative="1">
      <w:start w:val="1"/>
      <w:numFmt w:val="bullet"/>
      <w:lvlText w:val=""/>
      <w:lvlJc w:val="left"/>
      <w:pPr>
        <w:ind w:left="7560" w:hanging="360"/>
      </w:pPr>
      <w:rPr>
        <w:rFonts w:ascii="Symbol" w:hAnsi="Symbol" w:hint="default"/>
      </w:rPr>
    </w:lvl>
    <w:lvl w:ilvl="7" w:tplc="08090003" w:tentative="1">
      <w:start w:val="1"/>
      <w:numFmt w:val="bullet"/>
      <w:lvlText w:val="o"/>
      <w:lvlJc w:val="left"/>
      <w:pPr>
        <w:ind w:left="8280" w:hanging="360"/>
      </w:pPr>
      <w:rPr>
        <w:rFonts w:ascii="Courier New" w:hAnsi="Courier New" w:cs="Courier New" w:hint="default"/>
      </w:rPr>
    </w:lvl>
    <w:lvl w:ilvl="8" w:tplc="08090005" w:tentative="1">
      <w:start w:val="1"/>
      <w:numFmt w:val="bullet"/>
      <w:lvlText w:val=""/>
      <w:lvlJc w:val="left"/>
      <w:pPr>
        <w:ind w:left="9000" w:hanging="360"/>
      </w:pPr>
      <w:rPr>
        <w:rFonts w:ascii="Wingdings" w:hAnsi="Wingdings" w:hint="default"/>
      </w:rPr>
    </w:lvl>
  </w:abstractNum>
  <w:abstractNum w:abstractNumId="7" w15:restartNumberingAfterBreak="0">
    <w:nsid w:val="739A20C4"/>
    <w:multiLevelType w:val="hybridMultilevel"/>
    <w:tmpl w:val="F2D8CC4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A572752"/>
    <w:multiLevelType w:val="hybridMultilevel"/>
    <w:tmpl w:val="F136554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459037161">
    <w:abstractNumId w:val="5"/>
  </w:num>
  <w:num w:numId="2" w16cid:durableId="372316877">
    <w:abstractNumId w:val="3"/>
  </w:num>
  <w:num w:numId="3" w16cid:durableId="459349435">
    <w:abstractNumId w:val="2"/>
  </w:num>
  <w:num w:numId="4" w16cid:durableId="2038462101">
    <w:abstractNumId w:val="1"/>
  </w:num>
  <w:num w:numId="5" w16cid:durableId="631403217">
    <w:abstractNumId w:val="8"/>
  </w:num>
  <w:num w:numId="6" w16cid:durableId="1336154312">
    <w:abstractNumId w:val="7"/>
  </w:num>
  <w:num w:numId="7" w16cid:durableId="917598511">
    <w:abstractNumId w:val="4"/>
  </w:num>
  <w:num w:numId="8" w16cid:durableId="427694736">
    <w:abstractNumId w:val="0"/>
  </w:num>
  <w:num w:numId="9" w16cid:durableId="192171542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6CB"/>
    <w:rsid w:val="00005506"/>
    <w:rsid w:val="000107B2"/>
    <w:rsid w:val="000121DD"/>
    <w:rsid w:val="00014B3B"/>
    <w:rsid w:val="0001531D"/>
    <w:rsid w:val="00040081"/>
    <w:rsid w:val="0004464D"/>
    <w:rsid w:val="000515F9"/>
    <w:rsid w:val="000B1BF8"/>
    <w:rsid w:val="000F08A0"/>
    <w:rsid w:val="001018EC"/>
    <w:rsid w:val="00101D54"/>
    <w:rsid w:val="00107A87"/>
    <w:rsid w:val="001106CB"/>
    <w:rsid w:val="00134943"/>
    <w:rsid w:val="00153BE0"/>
    <w:rsid w:val="001F6159"/>
    <w:rsid w:val="00220B13"/>
    <w:rsid w:val="00227111"/>
    <w:rsid w:val="00227F3B"/>
    <w:rsid w:val="0025021E"/>
    <w:rsid w:val="002559CF"/>
    <w:rsid w:val="002A21AB"/>
    <w:rsid w:val="002E1058"/>
    <w:rsid w:val="002E5E46"/>
    <w:rsid w:val="002F75EF"/>
    <w:rsid w:val="00362491"/>
    <w:rsid w:val="00364CCB"/>
    <w:rsid w:val="00375B79"/>
    <w:rsid w:val="00392799"/>
    <w:rsid w:val="003935E3"/>
    <w:rsid w:val="003B5C7F"/>
    <w:rsid w:val="003C71C7"/>
    <w:rsid w:val="003C7969"/>
    <w:rsid w:val="004565A3"/>
    <w:rsid w:val="004F5E4A"/>
    <w:rsid w:val="004F757B"/>
    <w:rsid w:val="00503D59"/>
    <w:rsid w:val="0056643F"/>
    <w:rsid w:val="00584E1B"/>
    <w:rsid w:val="00592A5F"/>
    <w:rsid w:val="005A4D24"/>
    <w:rsid w:val="005E5B3D"/>
    <w:rsid w:val="00612359"/>
    <w:rsid w:val="0064246C"/>
    <w:rsid w:val="00676D43"/>
    <w:rsid w:val="00686BE5"/>
    <w:rsid w:val="00686DD2"/>
    <w:rsid w:val="00695264"/>
    <w:rsid w:val="006A710D"/>
    <w:rsid w:val="006C2351"/>
    <w:rsid w:val="006F4E1C"/>
    <w:rsid w:val="006F5AE2"/>
    <w:rsid w:val="00800F35"/>
    <w:rsid w:val="0082358C"/>
    <w:rsid w:val="00883DA9"/>
    <w:rsid w:val="00886046"/>
    <w:rsid w:val="00925131"/>
    <w:rsid w:val="009A773F"/>
    <w:rsid w:val="009B432F"/>
    <w:rsid w:val="009F53DC"/>
    <w:rsid w:val="00A1757B"/>
    <w:rsid w:val="00A34BF6"/>
    <w:rsid w:val="00A55554"/>
    <w:rsid w:val="00A60145"/>
    <w:rsid w:val="00A90280"/>
    <w:rsid w:val="00A9257A"/>
    <w:rsid w:val="00B11C4A"/>
    <w:rsid w:val="00B310D8"/>
    <w:rsid w:val="00B36035"/>
    <w:rsid w:val="00BE7245"/>
    <w:rsid w:val="00BF0B78"/>
    <w:rsid w:val="00C01559"/>
    <w:rsid w:val="00C05DCD"/>
    <w:rsid w:val="00C55E87"/>
    <w:rsid w:val="00C633C5"/>
    <w:rsid w:val="00C91123"/>
    <w:rsid w:val="00C94900"/>
    <w:rsid w:val="00D06484"/>
    <w:rsid w:val="00D433A2"/>
    <w:rsid w:val="00D656DA"/>
    <w:rsid w:val="00D92FB2"/>
    <w:rsid w:val="00DA17BE"/>
    <w:rsid w:val="00DB13CD"/>
    <w:rsid w:val="00E54F72"/>
    <w:rsid w:val="00E5689A"/>
    <w:rsid w:val="00F11097"/>
    <w:rsid w:val="00F31C32"/>
    <w:rsid w:val="00F361F6"/>
    <w:rsid w:val="00F36A00"/>
    <w:rsid w:val="00F408EB"/>
    <w:rsid w:val="00F47201"/>
    <w:rsid w:val="00F63328"/>
    <w:rsid w:val="00FC22D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23F39A"/>
  <w15:chartTrackingRefBased/>
  <w15:docId w15:val="{0A601E2B-1A09-4FF5-A24F-5FE2C0100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106C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1106C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1106C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1106C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1106C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1106C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1106C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1106C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1106C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06C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1106C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1106C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1106C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1106C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1106C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1106C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1106C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1106CB"/>
    <w:rPr>
      <w:rFonts w:eastAsiaTheme="majorEastAsia" w:cstheme="majorBidi"/>
      <w:color w:val="272727" w:themeColor="text1" w:themeTint="D8"/>
    </w:rPr>
  </w:style>
  <w:style w:type="paragraph" w:styleId="Title">
    <w:name w:val="Title"/>
    <w:basedOn w:val="Normal"/>
    <w:next w:val="Normal"/>
    <w:link w:val="TitleChar"/>
    <w:uiPriority w:val="10"/>
    <w:qFormat/>
    <w:rsid w:val="001106C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106C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1106C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1106C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1106CB"/>
    <w:pPr>
      <w:spacing w:before="160"/>
      <w:jc w:val="center"/>
    </w:pPr>
    <w:rPr>
      <w:i/>
      <w:iCs/>
      <w:color w:val="404040" w:themeColor="text1" w:themeTint="BF"/>
    </w:rPr>
  </w:style>
  <w:style w:type="character" w:customStyle="1" w:styleId="QuoteChar">
    <w:name w:val="Quote Char"/>
    <w:basedOn w:val="DefaultParagraphFont"/>
    <w:link w:val="Quote"/>
    <w:uiPriority w:val="29"/>
    <w:rsid w:val="001106CB"/>
    <w:rPr>
      <w:i/>
      <w:iCs/>
      <w:color w:val="404040" w:themeColor="text1" w:themeTint="BF"/>
    </w:rPr>
  </w:style>
  <w:style w:type="paragraph" w:styleId="ListParagraph">
    <w:name w:val="List Paragraph"/>
    <w:basedOn w:val="Normal"/>
    <w:uiPriority w:val="34"/>
    <w:qFormat/>
    <w:rsid w:val="001106CB"/>
    <w:pPr>
      <w:ind w:left="720"/>
      <w:contextualSpacing/>
    </w:pPr>
  </w:style>
  <w:style w:type="character" w:styleId="IntenseEmphasis">
    <w:name w:val="Intense Emphasis"/>
    <w:basedOn w:val="DefaultParagraphFont"/>
    <w:uiPriority w:val="21"/>
    <w:qFormat/>
    <w:rsid w:val="001106CB"/>
    <w:rPr>
      <w:i/>
      <w:iCs/>
      <w:color w:val="0F4761" w:themeColor="accent1" w:themeShade="BF"/>
    </w:rPr>
  </w:style>
  <w:style w:type="paragraph" w:styleId="IntenseQuote">
    <w:name w:val="Intense Quote"/>
    <w:basedOn w:val="Normal"/>
    <w:next w:val="Normal"/>
    <w:link w:val="IntenseQuoteChar"/>
    <w:uiPriority w:val="30"/>
    <w:qFormat/>
    <w:rsid w:val="001106C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1106CB"/>
    <w:rPr>
      <w:i/>
      <w:iCs/>
      <w:color w:val="0F4761" w:themeColor="accent1" w:themeShade="BF"/>
    </w:rPr>
  </w:style>
  <w:style w:type="character" w:styleId="IntenseReference">
    <w:name w:val="Intense Reference"/>
    <w:basedOn w:val="DefaultParagraphFont"/>
    <w:uiPriority w:val="32"/>
    <w:qFormat/>
    <w:rsid w:val="001106CB"/>
    <w:rPr>
      <w:b/>
      <w:bCs/>
      <w:smallCaps/>
      <w:color w:val="0F4761" w:themeColor="accent1" w:themeShade="BF"/>
      <w:spacing w:val="5"/>
    </w:rPr>
  </w:style>
  <w:style w:type="character" w:styleId="Hyperlink">
    <w:name w:val="Hyperlink"/>
    <w:basedOn w:val="DefaultParagraphFont"/>
    <w:uiPriority w:val="99"/>
    <w:unhideWhenUsed/>
    <w:rsid w:val="00E5689A"/>
    <w:rPr>
      <w:color w:val="467886" w:themeColor="hyperlink"/>
      <w:u w:val="single"/>
    </w:rPr>
  </w:style>
  <w:style w:type="character" w:styleId="UnresolvedMention">
    <w:name w:val="Unresolved Mention"/>
    <w:basedOn w:val="DefaultParagraphFont"/>
    <w:uiPriority w:val="99"/>
    <w:semiHidden/>
    <w:unhideWhenUsed/>
    <w:rsid w:val="00E5689A"/>
    <w:rPr>
      <w:color w:val="605E5C"/>
      <w:shd w:val="clear" w:color="auto" w:fill="E1DFDD"/>
    </w:rPr>
  </w:style>
  <w:style w:type="character" w:styleId="FootnoteReference">
    <w:name w:val="footnote reference"/>
    <w:basedOn w:val="DefaultParagraphFont"/>
    <w:uiPriority w:val="99"/>
    <w:semiHidden/>
    <w:unhideWhenUsed/>
    <w:rsid w:val="00040081"/>
    <w:rPr>
      <w:vertAlign w:val="superscript"/>
    </w:rPr>
  </w:style>
  <w:style w:type="character" w:styleId="CommentReference">
    <w:name w:val="annotation reference"/>
    <w:basedOn w:val="DefaultParagraphFont"/>
    <w:uiPriority w:val="99"/>
    <w:semiHidden/>
    <w:unhideWhenUsed/>
    <w:rsid w:val="00040081"/>
    <w:rPr>
      <w:sz w:val="16"/>
      <w:szCs w:val="16"/>
    </w:rPr>
  </w:style>
  <w:style w:type="paragraph" w:styleId="CommentText">
    <w:name w:val="annotation text"/>
    <w:basedOn w:val="Normal"/>
    <w:link w:val="CommentTextChar"/>
    <w:uiPriority w:val="99"/>
    <w:unhideWhenUsed/>
    <w:rsid w:val="00040081"/>
    <w:pPr>
      <w:spacing w:after="200" w:line="240" w:lineRule="auto"/>
    </w:pPr>
    <w:rPr>
      <w:rFonts w:ascii="Georgia" w:eastAsia="Georgia" w:hAnsi="Georgia" w:cs="Georgia"/>
      <w:kern w:val="0"/>
      <w:sz w:val="20"/>
      <w:szCs w:val="20"/>
      <w:lang w:eastAsia="en-GB"/>
      <w14:ligatures w14:val="none"/>
    </w:rPr>
  </w:style>
  <w:style w:type="character" w:customStyle="1" w:styleId="CommentTextChar">
    <w:name w:val="Comment Text Char"/>
    <w:basedOn w:val="DefaultParagraphFont"/>
    <w:link w:val="CommentText"/>
    <w:uiPriority w:val="99"/>
    <w:rsid w:val="00040081"/>
    <w:rPr>
      <w:rFonts w:ascii="Georgia" w:eastAsia="Georgia" w:hAnsi="Georgia" w:cs="Georgia"/>
      <w:kern w:val="0"/>
      <w:sz w:val="20"/>
      <w:szCs w:val="20"/>
      <w:lang w:eastAsia="en-GB"/>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3360">
      <w:bodyDiv w:val="1"/>
      <w:marLeft w:val="0"/>
      <w:marRight w:val="0"/>
      <w:marTop w:val="0"/>
      <w:marBottom w:val="0"/>
      <w:divBdr>
        <w:top w:val="none" w:sz="0" w:space="0" w:color="auto"/>
        <w:left w:val="none" w:sz="0" w:space="0" w:color="auto"/>
        <w:bottom w:val="none" w:sz="0" w:space="0" w:color="auto"/>
        <w:right w:val="none" w:sz="0" w:space="0" w:color="auto"/>
      </w:divBdr>
      <w:divsChild>
        <w:div w:id="620571175">
          <w:marLeft w:val="0"/>
          <w:marRight w:val="0"/>
          <w:marTop w:val="0"/>
          <w:marBottom w:val="0"/>
          <w:divBdr>
            <w:top w:val="none" w:sz="0" w:space="0" w:color="auto"/>
            <w:left w:val="none" w:sz="0" w:space="0" w:color="auto"/>
            <w:bottom w:val="none" w:sz="0" w:space="0" w:color="auto"/>
            <w:right w:val="none" w:sz="0" w:space="0" w:color="auto"/>
          </w:divBdr>
          <w:divsChild>
            <w:div w:id="805902125">
              <w:marLeft w:val="0"/>
              <w:marRight w:val="0"/>
              <w:marTop w:val="0"/>
              <w:marBottom w:val="0"/>
              <w:divBdr>
                <w:top w:val="none" w:sz="0" w:space="0" w:color="auto"/>
                <w:left w:val="none" w:sz="0" w:space="0" w:color="auto"/>
                <w:bottom w:val="none" w:sz="0" w:space="0" w:color="auto"/>
                <w:right w:val="none" w:sz="0" w:space="0" w:color="auto"/>
              </w:divBdr>
            </w:div>
          </w:divsChild>
        </w:div>
        <w:div w:id="1651205247">
          <w:marLeft w:val="0"/>
          <w:marRight w:val="0"/>
          <w:marTop w:val="0"/>
          <w:marBottom w:val="0"/>
          <w:divBdr>
            <w:top w:val="none" w:sz="0" w:space="0" w:color="auto"/>
            <w:left w:val="none" w:sz="0" w:space="0" w:color="auto"/>
            <w:bottom w:val="none" w:sz="0" w:space="0" w:color="auto"/>
            <w:right w:val="none" w:sz="0" w:space="0" w:color="auto"/>
          </w:divBdr>
          <w:divsChild>
            <w:div w:id="1967153728">
              <w:marLeft w:val="0"/>
              <w:marRight w:val="0"/>
              <w:marTop w:val="0"/>
              <w:marBottom w:val="0"/>
              <w:divBdr>
                <w:top w:val="none" w:sz="0" w:space="0" w:color="auto"/>
                <w:left w:val="none" w:sz="0" w:space="0" w:color="auto"/>
                <w:bottom w:val="none" w:sz="0" w:space="0" w:color="auto"/>
                <w:right w:val="none" w:sz="0" w:space="0" w:color="auto"/>
              </w:divBdr>
              <w:divsChild>
                <w:div w:id="822627743">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35314440">
      <w:bodyDiv w:val="1"/>
      <w:marLeft w:val="0"/>
      <w:marRight w:val="0"/>
      <w:marTop w:val="0"/>
      <w:marBottom w:val="0"/>
      <w:divBdr>
        <w:top w:val="none" w:sz="0" w:space="0" w:color="auto"/>
        <w:left w:val="none" w:sz="0" w:space="0" w:color="auto"/>
        <w:bottom w:val="none" w:sz="0" w:space="0" w:color="auto"/>
        <w:right w:val="none" w:sz="0" w:space="0" w:color="auto"/>
      </w:divBdr>
    </w:div>
    <w:div w:id="579215337">
      <w:bodyDiv w:val="1"/>
      <w:marLeft w:val="0"/>
      <w:marRight w:val="0"/>
      <w:marTop w:val="0"/>
      <w:marBottom w:val="0"/>
      <w:divBdr>
        <w:top w:val="none" w:sz="0" w:space="0" w:color="auto"/>
        <w:left w:val="none" w:sz="0" w:space="0" w:color="auto"/>
        <w:bottom w:val="none" w:sz="0" w:space="0" w:color="auto"/>
        <w:right w:val="none" w:sz="0" w:space="0" w:color="auto"/>
      </w:divBdr>
    </w:div>
    <w:div w:id="745884111">
      <w:bodyDiv w:val="1"/>
      <w:marLeft w:val="0"/>
      <w:marRight w:val="0"/>
      <w:marTop w:val="0"/>
      <w:marBottom w:val="0"/>
      <w:divBdr>
        <w:top w:val="none" w:sz="0" w:space="0" w:color="auto"/>
        <w:left w:val="none" w:sz="0" w:space="0" w:color="auto"/>
        <w:bottom w:val="none" w:sz="0" w:space="0" w:color="auto"/>
        <w:right w:val="none" w:sz="0" w:space="0" w:color="auto"/>
      </w:divBdr>
    </w:div>
    <w:div w:id="942759486">
      <w:bodyDiv w:val="1"/>
      <w:marLeft w:val="0"/>
      <w:marRight w:val="0"/>
      <w:marTop w:val="0"/>
      <w:marBottom w:val="0"/>
      <w:divBdr>
        <w:top w:val="none" w:sz="0" w:space="0" w:color="auto"/>
        <w:left w:val="none" w:sz="0" w:space="0" w:color="auto"/>
        <w:bottom w:val="none" w:sz="0" w:space="0" w:color="auto"/>
        <w:right w:val="none" w:sz="0" w:space="0" w:color="auto"/>
      </w:divBdr>
    </w:div>
    <w:div w:id="1084957186">
      <w:bodyDiv w:val="1"/>
      <w:marLeft w:val="0"/>
      <w:marRight w:val="0"/>
      <w:marTop w:val="0"/>
      <w:marBottom w:val="0"/>
      <w:divBdr>
        <w:top w:val="none" w:sz="0" w:space="0" w:color="auto"/>
        <w:left w:val="none" w:sz="0" w:space="0" w:color="auto"/>
        <w:bottom w:val="none" w:sz="0" w:space="0" w:color="auto"/>
        <w:right w:val="none" w:sz="0" w:space="0" w:color="auto"/>
      </w:divBdr>
    </w:div>
    <w:div w:id="1162770048">
      <w:bodyDiv w:val="1"/>
      <w:marLeft w:val="0"/>
      <w:marRight w:val="0"/>
      <w:marTop w:val="0"/>
      <w:marBottom w:val="0"/>
      <w:divBdr>
        <w:top w:val="none" w:sz="0" w:space="0" w:color="auto"/>
        <w:left w:val="none" w:sz="0" w:space="0" w:color="auto"/>
        <w:bottom w:val="none" w:sz="0" w:space="0" w:color="auto"/>
        <w:right w:val="none" w:sz="0" w:space="0" w:color="auto"/>
      </w:divBdr>
    </w:div>
    <w:div w:id="1220819649">
      <w:bodyDiv w:val="1"/>
      <w:marLeft w:val="0"/>
      <w:marRight w:val="0"/>
      <w:marTop w:val="0"/>
      <w:marBottom w:val="0"/>
      <w:divBdr>
        <w:top w:val="none" w:sz="0" w:space="0" w:color="auto"/>
        <w:left w:val="none" w:sz="0" w:space="0" w:color="auto"/>
        <w:bottom w:val="none" w:sz="0" w:space="0" w:color="auto"/>
        <w:right w:val="none" w:sz="0" w:space="0" w:color="auto"/>
      </w:divBdr>
    </w:div>
    <w:div w:id="1378554303">
      <w:bodyDiv w:val="1"/>
      <w:marLeft w:val="0"/>
      <w:marRight w:val="0"/>
      <w:marTop w:val="0"/>
      <w:marBottom w:val="0"/>
      <w:divBdr>
        <w:top w:val="none" w:sz="0" w:space="0" w:color="auto"/>
        <w:left w:val="none" w:sz="0" w:space="0" w:color="auto"/>
        <w:bottom w:val="none" w:sz="0" w:space="0" w:color="auto"/>
        <w:right w:val="none" w:sz="0" w:space="0" w:color="auto"/>
      </w:divBdr>
    </w:div>
    <w:div w:id="1463306319">
      <w:bodyDiv w:val="1"/>
      <w:marLeft w:val="0"/>
      <w:marRight w:val="0"/>
      <w:marTop w:val="0"/>
      <w:marBottom w:val="0"/>
      <w:divBdr>
        <w:top w:val="none" w:sz="0" w:space="0" w:color="auto"/>
        <w:left w:val="none" w:sz="0" w:space="0" w:color="auto"/>
        <w:bottom w:val="none" w:sz="0" w:space="0" w:color="auto"/>
        <w:right w:val="none" w:sz="0" w:space="0" w:color="auto"/>
      </w:divBdr>
      <w:divsChild>
        <w:div w:id="1183007272">
          <w:marLeft w:val="0"/>
          <w:marRight w:val="0"/>
          <w:marTop w:val="0"/>
          <w:marBottom w:val="0"/>
          <w:divBdr>
            <w:top w:val="none" w:sz="0" w:space="0" w:color="auto"/>
            <w:left w:val="none" w:sz="0" w:space="0" w:color="auto"/>
            <w:bottom w:val="none" w:sz="0" w:space="0" w:color="auto"/>
            <w:right w:val="none" w:sz="0" w:space="0" w:color="auto"/>
          </w:divBdr>
          <w:divsChild>
            <w:div w:id="152455365">
              <w:marLeft w:val="0"/>
              <w:marRight w:val="0"/>
              <w:marTop w:val="0"/>
              <w:marBottom w:val="0"/>
              <w:divBdr>
                <w:top w:val="none" w:sz="0" w:space="0" w:color="auto"/>
                <w:left w:val="none" w:sz="0" w:space="0" w:color="auto"/>
                <w:bottom w:val="none" w:sz="0" w:space="0" w:color="auto"/>
                <w:right w:val="none" w:sz="0" w:space="0" w:color="auto"/>
              </w:divBdr>
            </w:div>
          </w:divsChild>
        </w:div>
        <w:div w:id="563176641">
          <w:marLeft w:val="0"/>
          <w:marRight w:val="0"/>
          <w:marTop w:val="0"/>
          <w:marBottom w:val="0"/>
          <w:divBdr>
            <w:top w:val="none" w:sz="0" w:space="0" w:color="auto"/>
            <w:left w:val="none" w:sz="0" w:space="0" w:color="auto"/>
            <w:bottom w:val="none" w:sz="0" w:space="0" w:color="auto"/>
            <w:right w:val="none" w:sz="0" w:space="0" w:color="auto"/>
          </w:divBdr>
          <w:divsChild>
            <w:div w:id="1123235061">
              <w:marLeft w:val="0"/>
              <w:marRight w:val="0"/>
              <w:marTop w:val="0"/>
              <w:marBottom w:val="0"/>
              <w:divBdr>
                <w:top w:val="none" w:sz="0" w:space="0" w:color="auto"/>
                <w:left w:val="none" w:sz="0" w:space="0" w:color="auto"/>
                <w:bottom w:val="none" w:sz="0" w:space="0" w:color="auto"/>
                <w:right w:val="none" w:sz="0" w:space="0" w:color="auto"/>
              </w:divBdr>
              <w:divsChild>
                <w:div w:id="242497705">
                  <w:blockQuote w:val="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97570556">
      <w:bodyDiv w:val="1"/>
      <w:marLeft w:val="0"/>
      <w:marRight w:val="0"/>
      <w:marTop w:val="0"/>
      <w:marBottom w:val="0"/>
      <w:divBdr>
        <w:top w:val="none" w:sz="0" w:space="0" w:color="auto"/>
        <w:left w:val="none" w:sz="0" w:space="0" w:color="auto"/>
        <w:bottom w:val="none" w:sz="0" w:space="0" w:color="auto"/>
        <w:right w:val="none" w:sz="0" w:space="0" w:color="auto"/>
      </w:divBdr>
    </w:div>
    <w:div w:id="1614052237">
      <w:bodyDiv w:val="1"/>
      <w:marLeft w:val="0"/>
      <w:marRight w:val="0"/>
      <w:marTop w:val="0"/>
      <w:marBottom w:val="0"/>
      <w:divBdr>
        <w:top w:val="none" w:sz="0" w:space="0" w:color="auto"/>
        <w:left w:val="none" w:sz="0" w:space="0" w:color="auto"/>
        <w:bottom w:val="none" w:sz="0" w:space="0" w:color="auto"/>
        <w:right w:val="none" w:sz="0" w:space="0" w:color="auto"/>
      </w:divBdr>
      <w:divsChild>
        <w:div w:id="1683629502">
          <w:marLeft w:val="0"/>
          <w:marRight w:val="0"/>
          <w:marTop w:val="0"/>
          <w:marBottom w:val="160"/>
          <w:divBdr>
            <w:top w:val="none" w:sz="0" w:space="0" w:color="auto"/>
            <w:left w:val="none" w:sz="0" w:space="0" w:color="auto"/>
            <w:bottom w:val="none" w:sz="0" w:space="0" w:color="auto"/>
            <w:right w:val="none" w:sz="0" w:space="0" w:color="auto"/>
          </w:divBdr>
        </w:div>
      </w:divsChild>
    </w:div>
    <w:div w:id="1714308308">
      <w:bodyDiv w:val="1"/>
      <w:marLeft w:val="0"/>
      <w:marRight w:val="0"/>
      <w:marTop w:val="0"/>
      <w:marBottom w:val="0"/>
      <w:divBdr>
        <w:top w:val="none" w:sz="0" w:space="0" w:color="auto"/>
        <w:left w:val="none" w:sz="0" w:space="0" w:color="auto"/>
        <w:bottom w:val="none" w:sz="0" w:space="0" w:color="auto"/>
        <w:right w:val="none" w:sz="0" w:space="0" w:color="auto"/>
      </w:divBdr>
    </w:div>
    <w:div w:id="1773208405">
      <w:bodyDiv w:val="1"/>
      <w:marLeft w:val="0"/>
      <w:marRight w:val="0"/>
      <w:marTop w:val="0"/>
      <w:marBottom w:val="0"/>
      <w:divBdr>
        <w:top w:val="none" w:sz="0" w:space="0" w:color="auto"/>
        <w:left w:val="none" w:sz="0" w:space="0" w:color="auto"/>
        <w:bottom w:val="none" w:sz="0" w:space="0" w:color="auto"/>
        <w:right w:val="none" w:sz="0" w:space="0" w:color="auto"/>
      </w:divBdr>
    </w:div>
    <w:div w:id="17867744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tuc.org/en/document/en-adopted-resolution-roadmap-establish-trade-union-renewal-centre" TargetMode="External"/><Relationship Id="rId3" Type="http://schemas.openxmlformats.org/officeDocument/2006/relationships/settings" Target="settings.xml"/><Relationship Id="rId7" Type="http://schemas.openxmlformats.org/officeDocument/2006/relationships/hyperlink" Target="https://commission.europa.eu/strategy-and-policy/priorities-2019-2024/economy-works-people/delivering-strong-social-europe_e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journals.sagepub.com/home/TR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765</Words>
  <Characters>4361</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PARKER, Jane</dc:creator>
  <cp:keywords/>
  <dc:description/>
  <cp:lastModifiedBy>BECHTER, BARBARA</cp:lastModifiedBy>
  <cp:revision>2</cp:revision>
  <dcterms:created xsi:type="dcterms:W3CDTF">2025-02-16T12:37:00Z</dcterms:created>
  <dcterms:modified xsi:type="dcterms:W3CDTF">2025-02-16T12:37:00Z</dcterms:modified>
</cp:coreProperties>
</file>